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BGDE</w:t>
      </w:r>
      <w:r>
        <w:rPr>
          <w:rFonts w:ascii="Calibri" w:hAnsi="Calibri"/>
          <w:b/>
          <w:color w:val="1A2010"/>
          <w:sz w:val="40"/>
        </w:rPr>
        <w:t xml:space="preserve">  Big Digital Energy, Inc.</w:t>
      </w:r>
    </w:p>
    <w:p>
      <w:pPr>
        <w:spacing w:after="120"/>
      </w:pPr>
      <w:r>
        <w:rPr>
          <w:rFonts w:ascii="Calibri" w:hAnsi="Calibri"/>
          <w:b/>
          <w:color w:val="6E8450"/>
          <w:sz w:val="18"/>
        </w:rPr>
        <w:t>GROWTH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Infrastructure · NASDAQ · United States</w:t>
      </w:r>
    </w:p>
    <w:p>
      <w:pPr>
        <w:spacing w:after="80"/>
      </w:pPr>
      <w:r>
        <w:rPr>
          <w:rFonts w:ascii="Calibri" w:hAnsi="Calibri"/>
          <w:b w:val="0"/>
          <w:color w:val="3A4A28"/>
          <w:sz w:val="20"/>
        </w:rPr>
        <w:t>Big Digital Energy, Inc. (formerly Mawson Infrastructure Group Inc., renamed April 2026) designs, develops, and operates digital infrastructure platforms providing AI and high-performance computing colocation, digital asset (Bitcoin) mining, and energy management services. The company has approximately 129 MW of energized capacity including 75 MW deployed under the Six Thirty AI agreement. Q2 2026 revenue was $6.2M (+28% QoQ) with a net loss of ($7.4M). The company raised $15M via Series D preferred in Q2, improving cash to $16.3M and stockholders' equity to $12.4M from a prior deficit. Market cap approximately $31M.</w:t>
      </w:r>
    </w:p>
    <w:p>
      <w:r>
        <w:rPr>
          <w:rFonts w:ascii="Calibri" w:hAnsi="Calibri"/>
          <w:b/>
          <w:color w:val="6E8450"/>
          <w:sz w:val="18"/>
        </w:rPr>
        <w:t>33 Employees · https://www.bigdigital.energy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BGDE pivoted from pure Bitcoin mining to AI/HPC colocation, rebranding from Mawson Infrastructure to Big Digital Energy in April 2026 and signing a 75MW colocation deal with Six Thirty AI/Endeavor Group [1]. Q2 2026 revenue recovered to $6.2M (+28% QoQ) with digital colocation at $3.5M and energy management surging 120% QoQ to $2.6M. However, the transformation remains unproven — the company is still deeply unprofitable with a ($7.4M) net loss on $6.2M revenue, and annual revenue collapsed from $84.4M (2022) to $39.8M (2025) [2]. AI Deployment (1/2): The company operates AI/HPC colocation services with 129 MW of energized capacity, including 75 MW under the Six Thirty AI agreement [1]. Texas Load House JV with 10NetZero signed an LOI with Tensor IQ for a planned 17 MW AI/HPC campus at Hood County targeting Q2 2027 in-service. Revenue from AI-adjacent colocation is nascent but growing. Market Share (1/2): BGDE is a marginal participant in the massive AI/HPC colocation market, competing against far larger operators (Equinix, Digital Realty, CoreWeave) with superior scale, connectivity, capital, and customer relationships [2]. The 129 MW capacity is meaningful for a micro-cap but represents a tiny fraction of AI infrastructure demand. Pipeline (1/2): The Texas Load House JV targeting 17 MW for AI/HPC provides some pipeline visibility, and the existing 129 MW platform has expansion potential. However, the Tensor IQ LOI is non-binding and subject to definitive agreements and multiple conditions [1]. R&amp;D Intensity (0/1): No evidence of meaningful R&amp;D investment; the company is an infrastructure operator rather than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BGDE states its purpose as designing and operating 'next-generation digital infrastructure platforms' powered by carbon-free energy resources including nuclear power [3]. This is functional and generic — describing operational activities rather than an aspirational vision. The rebrand from Mawson Infrastructure to Big Digital Energy in April 2026 suggests identity searching rather than mission clarity. Community Impact (0/2): No evidence of charitable programs, community investment, or foundation activity. The company touts 'carbon-aware digital infrastructure solutions' and nuclear-powered operations as environmental positioning [3], but these are operational features, not community impact programs. A 33-person company facing financial distress has limited capacity for community investment. Employee Retention (0/2): With only 33 employees and complete leadership reconstitution in early 2026 — new CEO Phil Stanley, new Executive Chairman Joshua Kilgore, new COO Cody Smith, and seven new directors — the organization has experienced maximum management turnover [2]. No Glassdoor data, retention metrics, or employee sentiment available. Insider Buying (1/2): The new leadership team raised $15M via Series D preferred financing during Q2 2026, and investors focused on governance and related-party transaction concerns during the Q2 earnings call [1]. Executive Chairman Kilgore stated the company used independent audit committee review and director recusals to protect shareholders, but no specific open-market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69,460 shares x stock price of $5.39 = $374,400 daily trading value, well below the $1,000,000 threshold [4]. Infrastructure score is automatically set to 0 regardless of other metrics. For context: D/E of 612.6% is far above the 300% floor, ROE is deeply negative at -1,568%, profit margin is -73.9%, and revenue growth YoY remains severely negative. The company raised $15M via Series D preferred in Q2 2026, improving stockholders' equity to $12.4M from a prior deficit and cash to $16.3M [1], which partially addresses the prior going concern and Nasdaq compliance issues but does not change the fundamental unprofitability. Q2 2026 revenue of $6.2M improved 28% sequentially but the company reported a ($7.4M) net loss and ($4.4M) adjusted EBITDA loss. Every available financial metric scores at or near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Big Digital Energy exhibits predominantly finite game characteristics. The company has undergone multiple identity shifts — from Mawson Infrastructure to Big Digital Energy — chasing market trends from crypto mining to AI/HPC without establishing a durable competitive position in either. Complete leadership reconstitution in April 2026, prior Nasdaq delisting risk, and persistent deep losses suggest a company playing to survive this quarter rather than playing to keep playing. The Q2 2026 improvement ($6.2M revenue, $16.3M cash) shows stabilization but not strategic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BGDE has no articulated Just Cause. The company's identity shifted from Mawson Infrastructure Group (crypto mining) to Big Digital Energy (AI/HPC colocation) within months, suggesting strategic opportunism rather than enduring purpose [2]. The mission of operating 'next-generation digital infrastructure platforms' powered by clean energy is a description of activities, not a vision of a future state worth sacrificing for. The clean energy positioning (nuclear, carbon-free) is a differentiator, but it serves as a marketing angle rather than a Just Cause. Sinek would view this as a classic finite player — chasing whatever market narrative generates investor interest.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BGDE's organizational environment shows low trust markers. The company has only 33 employees and experienced complete leadership reconstitution in 2026 with seven new directors and three new executives [2]. No Glassdoor reviews, employee sentiment data, or retention metrics are available. The prior going concern disclosure and Nasdaq delisting threat created existential uncertainty for employees, which Sinek's framework identifies as antithetical to building Trusting Teams. The $15M Series D raise and equity improvement to $12.4M partially address survival risk [1], but organizational stability remains fragile.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BGDE's competitive positioning focuses on claiming space in the AI/HPC colocation market without acknowledging the vast advantages of worthy rivals like Equinix, Digital Realty, and CoreWeave. Management communications in the Q2 2026 earnings call emphasized market opportunity and pipeline rather than learning from competitors' strengths [1]. The company's competitive language centers on market positioning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BGDE has shown willingness to transform its business model, pivoting from pure Bitcoin mining to AI/HPC colocation with the Six Thirty AI 75MW agreement and company rebrand [2]. The pivot repurposes existing data center infrastructure for higher-value AI workloads and adds energy management services (+120% QoQ in Q2) [1]. However, Sinek distinguishes between existential flexibility driven by a Just Cause and desperation-driven pivots. BGDE's transformation appears motivated by financial survival rather than purpose — revenue collapsed, the company faced delisting, and crypto mining became unprofitable.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from the new leadership team. The entire board and management were reconstituted in early 2026 — CEO Phil Stanley, Executive Chairman Joshua Kilgore, and COO Cody Smith — amid financial distress [2]. Strategic decisions appear driven by survival needs (rebranding, pivoting to AI/HPC, raising Series D preferred financing) rather than conviction about a long-term vision. The Q2 earnings call revealed investor concern about related-party transactions and governance, suggesting management is focused on capital-raising and compliance rather than building durable competitive advantage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Big Digital Energy is a speculative micro-cap ($31M market cap) attempting a high-risk pivot from declining Bitcoin mining to AI/HPC data center colocation, with 129 MW of energized capacity including 75 MW under the Six Thirty AI agreement [1]. Q2 2026 showed sequential improvement: revenue up 28% QoQ to $6.2M, energy management revenue surging 120%, and cash improving to $16.3M following a $15M Series D preferred raise. Stockholders' equity recovered to $12.4M from a prior deficit, partially addressing Nasdaq compliance concerns [1]. The Texas Load House JV with 10NetZero targeting an additional 17 MW AI/HPC campus provides pipeline visibility. The broader AI infrastructure buildout creates genuine demand for colocation capacity, and BGDE's clean energy positioning (nuclear power, carbon-free operations) could differentiate in an ESG-conscious market [3].</w:t>
      </w:r>
    </w:p>
    <w:p>
      <w:pPr>
        <w:spacing w:after="120"/>
      </w:pPr>
      <w:r>
        <w:rPr>
          <w:rFonts w:ascii="Calibri" w:hAnsi="Calibri"/>
          <w:b w:val="0"/>
          <w:color w:val="3A4A28"/>
          <w:sz w:val="20"/>
        </w:rPr>
        <w:t>The bear case is severe and dominates. The stock has declined from ~$10.67 to $5.39 (-49%) since mid-2026, and average daily volume collapsed to 69,460 shares — creating a daily dollar volume of only $374K that fails the IOWN $1M liquidity floor [4]. The company reported a ($7.4M) net loss on $6.2M revenue in Q2, with EPS of ($1.33) and adjusted EBITDA loss of ($4.4M), meaning the business consumes more cash than it generates [1]. D/E of 612.6% reflects extreme leverage, and ROE of -1,568% indicates catastrophic capital destruction relative to equity. Revenue growth YoY remains deeply negative at -65%. The Q2 earnings call surfaced investor concerns about related-party transactions including the Six Thirty AI deal and Series D financing [1]. BGDE competes for AI/HPC colocation against operators with vastly superior scale, financial resources, and customer relationships — Equinix alone has 260+ data centers versus BGDE's two facilities. The 33-person company with an entirely new management team (installed April 2026) faces extreme execution risk in a capital-intensive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ramp of the 129 MW energized platform, particularly the 75 MW Six Thirty AI colocation agreement, could establish recurring infrastructure revenue and validate the pivot from Bitcoin mining [1]</w:t>
      </w:r>
    </w:p>
    <w:p>
      <w:pPr>
        <w:spacing w:before="40" w:after="40"/>
        <w:ind w:left="283"/>
      </w:pPr>
      <w:r>
        <w:rPr>
          <w:rFonts w:ascii="Calibri" w:hAnsi="Calibri"/>
          <w:b/>
          <w:color w:val="4A6B25"/>
          <w:sz w:val="20"/>
        </w:rPr>
        <w:t xml:space="preserve">2. </w:t>
      </w:r>
      <w:r>
        <w:rPr>
          <w:rFonts w:ascii="Calibri" w:hAnsi="Calibri"/>
          <w:b w:val="0"/>
          <w:color w:val="3A4A28"/>
          <w:sz w:val="20"/>
        </w:rPr>
        <w:t>Texas Load House JV with 10NetZero targeting 17 MW AI/HPC campus at Hood County by Q2 2027 provides capacity expansion pipeline and potential additional revenue streams [1]</w:t>
      </w:r>
    </w:p>
    <w:p>
      <w:pPr>
        <w:spacing w:before="40" w:after="40"/>
        <w:ind w:left="283"/>
      </w:pPr>
      <w:r>
        <w:rPr>
          <w:rFonts w:ascii="Calibri" w:hAnsi="Calibri"/>
          <w:b/>
          <w:color w:val="4A6B25"/>
          <w:sz w:val="20"/>
        </w:rPr>
        <w:t xml:space="preserve">3. </w:t>
      </w:r>
      <w:r>
        <w:rPr>
          <w:rFonts w:ascii="Calibri" w:hAnsi="Calibri"/>
          <w:b w:val="0"/>
          <w:color w:val="3A4A28"/>
          <w:sz w:val="20"/>
        </w:rPr>
        <w:t>Series D preferred financing ($15M) and equity recovery to $12.4M may stabilize the capital structure enough to pursue growth — if operational cash flow turns positive, the equity story changes materially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Illiquidity — average daily volume of 69,460 shares at $5.39 produces only $374K in daily dollar volume, well below the IOWN $1M threshold; position sizing and exit risk are extreme for any institutional investor [4]</w:t>
      </w:r>
    </w:p>
    <w:p>
      <w:pPr>
        <w:spacing w:before="40" w:after="40"/>
        <w:ind w:left="283"/>
      </w:pPr>
      <w:r>
        <w:rPr>
          <w:rFonts w:ascii="Calibri" w:hAnsi="Calibri"/>
          <w:b/>
          <w:color w:val="4A6B25"/>
          <w:sz w:val="20"/>
        </w:rPr>
        <w:t xml:space="preserve">2. </w:t>
      </w:r>
      <w:r>
        <w:rPr>
          <w:rFonts w:ascii="Calibri" w:hAnsi="Calibri"/>
          <w:b w:val="0"/>
          <w:color w:val="3A4A28"/>
          <w:sz w:val="20"/>
        </w:rPr>
        <w:t>Persistent deep unprofitability — ($7.4M) net loss on $6.2M Q2 revenue, ($1.33) EPS, and -73.9% profit margin indicate the business model has not reached viability; the $16.3M cash position provides limited runway at current burn rates [1]</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in AI/HPC colocation — BGDE's 129 MW across two facilities competes against operators with 100x-1,000x more scale, capital, and established enterprise relationships; the company risks being permanently subscale in a winner-take-most infrastructure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BGDE is attempting to become AI/HPC infrastructure — 129 MW of energized capacity with 75 MW under the Six Thirty AI agreement, and a new JV targeting 17 MW for Tensor IQ [1]. In theory, AI infrastructure providers benefit from AI growth rather than being disrupted by it. However, BGDE is a $31M micro-cap competing against operators with 1,000x more scale, capital, and established customer relationships (Equinix, Digital Realty, CoreWeave). The company's historical Bitcoin mining business faces indirect AI competition as AI workloads compete for the same energy and data center resources. The extreme financial distress — -74% profit margin, $612% D/E — makes successful execution of the AI pivot highly uncertain. AI is not a threat to the business model, but the company may lack the resources to capture the AI opportunity. AI Opportunity (1/1): BGDE generates AI-adjacent revenue through its colocation services, with $3.5M in digital colocation revenue in Q2 2026 serving workloads that include AI/HPC applications [1]. The Six Thirty AI agreement and Texas Load House JV are explicitly AI-targeted infrastructure deals.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Big Digital Energy Q2 2026 Earnings Release and Call — Revenue $6.2M (+28% QoQ), Net Loss ($7.4M), EPS ($1.33), Cash $16.3M, Equity $12.4M, 129 MW Energized, Series D $15M, Texas Load House LOI — StockTitan, Investing.com, 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Big Digital Energy Corporate Announcements — Rebrand from Mawson Infrastructure (April 2026), 75MW Six Thirty AI Agreement, New CEO Phil Stanley, Executive Chairman Joshua Kilgore, COO Cody Smith, Board Reconstitution — SEC Filings, DataCenterDynamics, April-August 2026</w:t>
      </w:r>
    </w:p>
    <w:p>
      <w:pPr>
        <w:spacing w:before="20" w:after="20"/>
        <w:ind w:left="170"/>
      </w:pPr>
      <w:r>
        <w:rPr>
          <w:rFonts w:ascii="Calibri" w:hAnsi="Calibri"/>
          <w:b/>
          <w:color w:val="4A6B25"/>
          <w:sz w:val="15"/>
        </w:rPr>
        <w:t xml:space="preserve">3. </w:t>
      </w:r>
      <w:r>
        <w:rPr>
          <w:rFonts w:ascii="Calibri" w:hAnsi="Calibri"/>
          <w:b w:val="0"/>
          <w:color w:val="3A4A28"/>
          <w:sz w:val="17"/>
        </w:rPr>
        <w:t>Big Digital Energy Environmental and Infrastructure Strategy — Carbon-free energy including nuclear, 129 MW energized capacity, AI/HPC colocation positioning — Company Website, Baxtel,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MarketChameleon — BGDE Key Statistics: Stock Price $5.39, Market Cap $30.8M, Avg Volume 69.46K, D/E 612.6%, ROE -1,568%, Profit Margin -73.9%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