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BGL</w:t>
      </w:r>
      <w:r>
        <w:rPr>
          <w:rFonts w:ascii="Calibri" w:hAnsi="Calibri"/>
          <w:b/>
          <w:color w:val="1A2010"/>
          <w:sz w:val="40"/>
        </w:rPr>
        <w:t xml:space="preserve">  Blue Gold Limited</w:t>
      </w:r>
    </w:p>
    <w:p>
      <w:pPr>
        <w:spacing w:after="120"/>
      </w:pPr>
      <w:r>
        <w:rPr>
          <w:rFonts w:ascii="Calibri" w:hAnsi="Calibri"/>
          <w:b/>
          <w:color w:val="6E8450"/>
          <w:sz w:val="18"/>
        </w:rPr>
        <w:t>GROWTH SLEEVE · 2026-07-29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 NASDAQ · Cayman Islands</w:t>
      </w:r>
    </w:p>
    <w:p>
      <w:pPr>
        <w:spacing w:after="80"/>
      </w:pPr>
      <w:r>
        <w:rPr>
          <w:rFonts w:ascii="Calibri" w:hAnsi="Calibri"/>
          <w:b w:val="0"/>
          <w:color w:val="3A4A28"/>
          <w:sz w:val="20"/>
        </w:rPr>
        <w:t>Gold development and technology company combining mining assets in Ghana's Ashanti Gold Belt with gold-backed digital instruments (Standard Gold Coin) and fintech infrastructure. Flagship Bogoso Prestea Mine is currently inaccessible following a lease termination notice, with the company pursuing $1B+ international arbitration against the Republic of Ghana. Founded 2023, headquartered in Grand Cayman, Cayman Islands.</w:t>
      </w:r>
    </w:p>
    <w:p>
      <w:r>
        <w:rPr>
          <w:rFonts w:ascii="Calibri" w:hAnsi="Calibri"/>
          <w:b/>
          <w:color w:val="6E8450"/>
          <w:sz w:val="18"/>
        </w:rPr>
        <w:t>6 Employees · https://bluegoldmine.com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Blue Gold has zero revenue and no operational gold production after three years since founding in 2023. The flagship Bogoso Prestea Mine in Ghana is inaccessible following a lease termination notice, and the company's entire operational thesis depends on resolving a complex international arbitration with the Republic of Ghana [3]. No successful product launches or business transformations. AI Deployment (0/2): No AI strategy or deployment evident for this pre-operational mining company with 6 employees. Market Share (0/2): No gold production, no market presence in mining or fintech. Product Pipeline (1/2): The Standard Gold Coin (SGC) concept — a gold-backed digital asset where each coin represents one gram of physical gold in Wyoming digital asset statutory trust vaults — represents an innovative concept bridging physical gold and digital finance [1]. The appointment of 40-year mining veteran Gustavo Gomes as COO signals preparation for production readiness [4]. However, both the mine and the digital asset product remain non-operational. R&amp;D Intensity (0/1): Gold mining does not involve traditional R&amp;D; the digital asset platform is conceptual rather than under active technical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Blue Gold positions itself as a 'next-generation gold exploration, development and mining company,' but this is more business strategy than purpose statement [1]. The SGC digital gold concept adds distinctiveness, but the company has not articulated a just cause beyond profit generation through gold extraction and tokenization. Community Impact (0/2): No evidence of charitable programs or community investment. The company's Ghana mining dispute raises questions about local community impact. Employee Retention (0/2): Only 6 employees. No retention or culture data available [1]. Insider Buying (0/2): The CEO shifted to a $1 salary and 'boosted his stake,' which signals personal conviction, but without specific dollar amounts for open-market purchases, this does not meet the threshold for scored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83,379 shares at $0.2119 yields daily dollar volume of approximately $17,700, far below the $1,000,000 IOWN liquidity threshold [1]. Infrastructure score forced to 0. The stock has collapsed 98.8% from its 52-week high of $18.21 to $0.21, with market cap at $8.65M. The company reported net income of -$21.91M with zero revenue and only 6 employees [1]. Nasdaq has issued a notification regarding minimum market value of publicly held shares deficiency, creating delisting risk. All key financial metrics (P/E, Forward P/E, D/E, ROE, profit margin) are unavailable due to the company's pre-revenue, pre-operational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Blue Gold Limited exhibits no meaningful infinite game characteristics. The company exists to mine gold and tokenize it for profit — a purely extractive business model with no articulated just cause. With only 6 employees, 3 years of history, zero revenue, and the primary asset locked in international arbitration, there is no organizational foundation for infinite game assessment. The company's existence is contingent on winning a legal dispute with a sovereign nation.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Blue Gold exists to extract gold and create gold-backed digital tokens — a business thesis, not a vision of a better future [1]. The company does not articulate why it exists beyond generating returns through gold production and fintech innovation. There is no Sinek-style Just Cause that would inspire people to sacrifice in service of a larger purpose. Gold extraction is inherently finite — it depletes a physical resource.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6 employees, organizational culture assessment is not meaningful [1]. The appointment of veteran COO Gustavo Gomes (40 years of mining experience) suggests effort to build operational capability, but the organization is too small and young for trust dynamics to be evaluated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infinite or finite. The company does not publicly discuss competitors or use competitive dynamics for self-improvement. As a pre-operational gold miner with 6 employees, competitive positioning is not part of its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Blue Gold has not demonstrated any strategic pivots since its 2023 founding. The company's original thesis — acquire Ghana mining assets and combine with digital gold tokens — remains unchanged, though the mine inaccessibility has forced a shift toward legal arbitration as the primary value-creation strategy [3]. This is reactive adaptation to adversity, not proactive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CEO's shift to a $1 salary and stake increase shows personal commitment, but pursuing $1B+ arbitration against a sovereign nation is the company's only realistic path to value rather than a courageous strategic choice [3][4]. No evidence of leadership sacrificing short-term results for long-term capability development. The company's primary activity is legal proceedings, not business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 Gold Limited is a pre-operational gold development company with an innovative concept combining physical mining assets in Ghana's Ashanti Gold Belt with gold-backed digital instruments (Standard Gold Coin) [1]. The $1B+ international arbitration against the Republic of Ghana over the Bogoso Prestea Mine represents the company's primary source of potential value — a favorable ruling could unlock access to significant gold reserves in one of the world's premier gold-producing regions [3]. The appointment of 40-year mining veteran Gustavo Gomes as COO signals serious intent to resume operations if the arbitration succeeds [4]. CEO's $1 salary commitment demonstrates personal conviction.</w:t>
      </w:r>
    </w:p>
    <w:p>
      <w:pPr>
        <w:spacing w:after="120"/>
      </w:pPr>
      <w:r>
        <w:rPr>
          <w:rFonts w:ascii="Calibri" w:hAnsi="Calibri"/>
          <w:b w:val="0"/>
          <w:color w:val="3A4A28"/>
          <w:sz w:val="20"/>
        </w:rPr>
        <w:t>The bear case dominates at current fundamentals. The stock has declined 98.8% from $18.21 to $0.21, the $8.65M market cap reflects near-total loss of investor confidence, and Nasdaq has issued a minimum market value deficiency notification [1]. The company has zero revenue, zero gold production, only 6 employees, and its primary asset (Bogoso Prestea Mine) is physically inaccessible following Ghana's lease termination [3]. International arbitration against a sovereign nation is expensive, uncertain, and may take years to resolve — the Permanent Court of Arbitration process is ongoing with no guaranteed outcome. The $21.9M net loss against no revenue creates ongoing capital needs. The SGC digital gold token concept remains unproven and non-operational. Daily dollar volume of $17,700 makes the stock effectively untradeable, and delisting risk is imminent.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Favorable ruling in the $1B+ international arbitration against Ghana under the UK-Ghana bilateral investment treaty could unlock mine access and dramatically revalue the company</w:t>
      </w:r>
    </w:p>
    <w:p>
      <w:pPr>
        <w:spacing w:before="40" w:after="40"/>
        <w:ind w:left="283"/>
      </w:pPr>
      <w:r>
        <w:rPr>
          <w:rFonts w:ascii="Calibri" w:hAnsi="Calibri"/>
          <w:b/>
          <w:color w:val="4A6B25"/>
          <w:sz w:val="20"/>
        </w:rPr>
        <w:t xml:space="preserve">2. </w:t>
      </w:r>
      <w:r>
        <w:rPr>
          <w:rFonts w:ascii="Calibri" w:hAnsi="Calibri"/>
          <w:b w:val="0"/>
          <w:color w:val="3A4A28"/>
          <w:sz w:val="20"/>
        </w:rPr>
        <w:t>The Permanent Court of Arbitration's denial of Ghana's trifurcation request accelerates the timeline for a unified proceeding on jurisdiction, liability, and damages [3]</w:t>
      </w:r>
    </w:p>
    <w:p>
      <w:pPr>
        <w:spacing w:before="40" w:after="40"/>
        <w:ind w:left="283"/>
      </w:pPr>
      <w:r>
        <w:rPr>
          <w:rFonts w:ascii="Calibri" w:hAnsi="Calibri"/>
          <w:b/>
          <w:color w:val="4A6B25"/>
          <w:sz w:val="20"/>
        </w:rPr>
        <w:t xml:space="preserve">3. </w:t>
      </w:r>
      <w:r>
        <w:rPr>
          <w:rFonts w:ascii="Calibri" w:hAnsi="Calibri"/>
          <w:b w:val="0"/>
          <w:color w:val="3A4A28"/>
          <w:sz w:val="20"/>
        </w:rPr>
        <w:t>Gold prices above $2,500/oz provide favorable economics for the Bogoso Prestea assets if mining operations resume following arbitration resolution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arbitration against a sovereign nation is inherently uncertain — Ghana may prevail on jurisdictional or substantive grounds, rendering the mining assets permanently inaccessible</w:t>
      </w:r>
    </w:p>
    <w:p>
      <w:pPr>
        <w:spacing w:before="40" w:after="40"/>
        <w:ind w:left="283"/>
      </w:pPr>
      <w:r>
        <w:rPr>
          <w:rFonts w:ascii="Calibri" w:hAnsi="Calibri"/>
          <w:b/>
          <w:color w:val="4A6B25"/>
          <w:sz w:val="20"/>
        </w:rPr>
        <w:t xml:space="preserve">2. </w:t>
      </w:r>
      <w:r>
        <w:rPr>
          <w:rFonts w:ascii="Calibri" w:hAnsi="Calibri"/>
          <w:b w:val="0"/>
          <w:color w:val="3A4A28"/>
          <w:sz w:val="20"/>
        </w:rPr>
        <w:t>Nasdaq minimum market value deficiency notification creates imminent delisting risk that would further reduce liquidity and institutional investor access [1]</w:t>
      </w:r>
    </w:p>
    <w:p>
      <w:pPr>
        <w:spacing w:before="40" w:after="40"/>
        <w:ind w:left="283"/>
      </w:pPr>
      <w:r>
        <w:rPr>
          <w:rFonts w:ascii="Calibri" w:hAnsi="Calibri"/>
          <w:b/>
          <w:color w:val="4A6B25"/>
          <w:sz w:val="20"/>
        </w:rPr>
        <w:t xml:space="preserve">3. </w:t>
      </w:r>
      <w:r>
        <w:rPr>
          <w:rFonts w:ascii="Calibri" w:hAnsi="Calibri"/>
          <w:b w:val="0"/>
          <w:color w:val="3A4A28"/>
          <w:sz w:val="20"/>
        </w:rPr>
        <w:t>Zero revenue, 6 employees, and $21.9M annual losses require continued capital raises that would further dilute the already-collapsed share price — no clear path to self-sustaining operations absent arbitration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an inherently physical-world operation that AI structurally cannot displace [1]. Extracting gold from the earth requires heavy machinery, geological expertise, physical infrastructure, processing facilities, and regulatory compliance with mining authorities. AI tools may modestly improve geological survey accuracy or operational efficiency, but cannot substitute for the fundamental physical process of mining. Gold itself has intrinsic commodity value independent of technology trends — if anything, AI-driven economic uncertainty could increase demand for gold as a store of value. The company's parallel fintech concept (SGC digital gold token) also operates in a regulated financial domain requiring custodial and compliance infrastructure. AI Opportunity (0/1): No AI-related revenue or deployment. The company has no operational AI products or quantifiable AI efficiency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Analysis — BGL Financial Overview, Balance Sheet, and Key Statistics,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Blue Gold Limited Website — Leadership Team, SGC Digital Gold Concept, Company Overview,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Blue Gold Arbitration Against Republic of Ghana, Procedural Success, PCA Denial of Trifurcation, May 2026</w:t>
      </w:r>
    </w:p>
    <w:p>
      <w:pPr>
        <w:spacing w:before="20" w:after="20"/>
        <w:ind w:left="170"/>
      </w:pPr>
      <w:r>
        <w:rPr>
          <w:rFonts w:ascii="Calibri" w:hAnsi="Calibri"/>
          <w:b/>
          <w:color w:val="4A6B25"/>
          <w:sz w:val="15"/>
        </w:rPr>
        <w:t xml:space="preserve">4. </w:t>
      </w:r>
      <w:r>
        <w:rPr>
          <w:rFonts w:ascii="Calibri" w:hAnsi="Calibri"/>
          <w:b w:val="0"/>
          <w:color w:val="3A4A28"/>
          <w:sz w:val="17"/>
        </w:rPr>
        <w:t>Stock Titan — Blue Gold COO Appointment (Gustavo Gomes), CEO $1 Salary and Stake Increase, Nasdaq Deficiency Notification,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