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BXMT</w:t>
      </w:r>
      <w:r>
        <w:rPr>
          <w:rFonts w:ascii="Calibri" w:hAnsi="Calibri"/>
          <w:b/>
          <w:color w:val="1A2010"/>
          <w:sz w:val="40"/>
        </w:rPr>
        <w:t xml:space="preserve">  Blackstone Mortgage Trust, Inc.</w:t>
      </w:r>
    </w:p>
    <w:p>
      <w:pPr>
        <w:spacing w:after="120"/>
      </w:pPr>
      <w:r>
        <w:rPr>
          <w:rFonts w:ascii="Calibri" w:hAnsi="Calibri"/>
          <w:b/>
          <w:color w:val="6E8450"/>
          <w:sz w:val="18"/>
        </w:rPr>
        <w:t>DIVIDEND SLEEVE · 2026-07-29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Externally managed commercial mortgage REIT originating and managing senior secured loans collateralized by institutional-quality commercial real estate. Managed by Blackstone's $77B BREDS (Blackstone Real Estate Debt Strategies) platform. Transitioned CEO from Katie Keenan to Tim Johnson (Blackstone since 2011) in 2025. Founded 1966, one of the largest publicly traded commercial mortgage REITs with $20B+ total assets.</w:t>
      </w:r>
    </w:p>
    <w:p>
      <w:r>
        <w:rPr>
          <w:rFonts w:ascii="Calibri" w:hAnsi="Calibri"/>
          <w:b/>
          <w:color w:val="6E8450"/>
          <w:sz w:val="18"/>
        </w:rPr>
        <w:t>29 Employees · https://www.blackstonemortgagetrust.com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BXMT has operated the same commercial mortgage lending business model for over a decade under Blackstone management, with no product launches, market pivots, or business model transformations [1]. The company originates senior secured CRE loans, collects interest, and distributes earnings — a straightforward financial intermediation model. The 2023-2025 CRE downturn tested execution but did not prompt innovation. AI Deployment (0/2): No AI deployment or strategy evident for this 29-employee externally managed REIT [4]. Loan origination and credit underwriting rely on traditional Blackstone analytical methods. Market Share (1/2): BXMT is one of the largest publicly traded commercial mortgage REITs with $20B+ total assets, backed by Blackstone's $77B BREDS platform and deep CRE expertise [4]. The Blackstone brand provides meaningful competitive advantage in deal sourcing and borrower relationships. However, BXMT does not define or lead any market category. Product Pipeline (0/2): No new products, services, or innovations in pipeline. The company continues its established senior CRE lending strategy. R&amp;D Intensity (0/1): Mortgage REITs have no R&amp;D function. BXMT has 29 employees and is externally managed.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BXMT's purpose as Blackstone's public CRE lending vehicle is clear and serves an identifiable function in commercial real estate capital markets — providing institutional-quality senior secured financing for major commercial properties [4]. The connection to Blackstone's broader platform gives it some distinctiveness. However, this is a financial vehicle designed to generate returns, not a purpose that inspires beyond the obvious. Community Impact (0/2): BXMT with 29 employees is an externally managed investment vehicle. It does not have its own community programs, charitable foundation, or philanthropic activity. Blackstone has broader ESG initiatives, but BXMT's 2022 ESG report notes that as a lender, it 'does not control the underlying properties' and is 'not positioned to direct ESG initiatives at the properties' [5]. Employee Retention (0/2): Only 29 employees, externally managed by Blackstone. No meaningful retention data for the BXMT entity itself. Insider Buying (0/2): No evidence of meaningful net insider buying. Leadership transition from Katie Keenan to Tim Johnson in 2025 was an internal Blackstone succession, not an ownership-driven change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stock metrics. Forward P/E of 10.99 is well below the 20 target, reflecting attractive valuation relative to forward earnings expectations [2]. Consecutive years of dividend payments at 14 years demonstrates commitment to income distribution [5]. However, severe weaknesses offset these positives: D/E of 464% is far above the 300% floor (mortgage REIT leverage is structural but penalized by the framework), payout ratio of 309% indicates unsustainable dividend coverage on a GAAP basis, and the dividend was cut from $2.48 to $1.88 annually in September 2024, eliminating consecutive growth years [5]. ROE of 3.03% ($103.6M net income on $3.42B equity) is well below the 15% target [2]. Revenue growth of 3.5% YoY ($440M FY2025 vs $425M FY2024) is modest, and profit margin of 17.74% is close to but below the 20% target [2]. Impaired loan reduction from $2.3B to $700M demonstrates improving portfolio quality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BXMT is a financial vehicle designed to generate returns through commercial mortgage lending — by definition a finite game enterprise. With only 29 employees, external management by Blackstone, and a purpose limited to capital deployment and income generation, the company lacks the organizational foundation for infinite game thinking. The dividend cut in 2024 and focus on quarterly distributable earnings reinforce a finite, earnings-per-share-driven orientation. Sinek would not find an infinite player here.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BXMT exists to originate commercial mortgage loans and distribute income to shareholders — a financial function, not a vision of a better future [4]. The company is externally managed by Blackstone, meaning its purpose is derivative of Blackstone's broader business strategy rather than self-generated. There is no articulated just cause, no mission statement that inspires beyond profit generation, and no evidence that purpose drives strategic decisions beyond risk-adjusted return optimization.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29 employees and external management by Blackstone, BXMT does not have the organizational scale for meaningful trust assessment [4]. The leadership transition from Katie Keenan to Tim Johnson was smooth (Johnson was already Global Head of BREDS and Board Chair), suggesting institutional continuity rather than disruption. However, the externally managed structure means culture is set by Blackstone, not by BXMT's own leadership.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BXMT or its management team publicly acknowledging competitors' strengths or using competitive dynamics for self-improvement. The company benefits from the Blackstone platform's scale and reputation rather than defining itself relative to worthy rivals in the mortgage REIT space.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BXMT has operated the same senior CRE lending strategy for over a decade without meaningful strategic pivots [4]. The company has no flexibility to reinvent itself — it is externally managed by Blackstone and mandated to deploy capital into commercial mortgage loans. Structural rigidity is inherent to the externally managed REIT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BXMT's management made the difficult decision to cut the quarterly dividend from $0.62 to $0.47 in September 2024, prioritizing balance sheet preservation over shareholder satisfaction during the CRE downturn [1][5]. This required courage — REIT investors are income-focused and dividend cuts trigger selling pressure. The proactive reduction of impaired loans from $2.3B to $700M YoY demonstrates decisive portfolio management during stress [1]. However, Tim Johnson's appointment as CEO (replacing Keenan) was a Blackstone internal succession, not a founder-driven courageous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Blackstone Mortgage Trust offers an 11.3% dividend yield backed by Blackstone's $77B BREDS platform and $20B+ total assets [2][4]. The portfolio has improved meaningfully — impaired loans reduced from $2.3B to $700M YoY — and FY2025 delivered $109.6M net income with distributable EPS of $1.86 against $1.88 in dividends paid (102% coverage) [1]. Forward P/E of 10.99 is attractive relative to the market, and Tim Johnson's appointment as CEO (Global Head of BREDS, Blackstone since 2011) provides experienced leadership continuity [4]. Q4 2025 quarterly revenue of $140.9M (up from $77.4M in Q1 2025) demonstrates sequential recovery.</w:t>
      </w:r>
    </w:p>
    <w:p>
      <w:pPr>
        <w:spacing w:after="120"/>
      </w:pPr>
      <w:r>
        <w:rPr>
          <w:rFonts w:ascii="Calibri" w:hAnsi="Calibri"/>
          <w:b w:val="0"/>
          <w:color w:val="3A4A28"/>
          <w:sz w:val="20"/>
        </w:rPr>
        <w:t>The bear case reflects structural challenges within the IOWN framework. D/E of 464% is inherent to the mortgage REIT model but creates extreme sensitivity to interest rate movements and credit cycles. The GAAP payout ratio of 309% (distributable earnings cover the dividend but GAAP earnings do not) raises sustainability questions if credit losses increase. The dividend was cut 24% in September 2024, eliminating any growth track record, and the stock trades 15% below its 52-week high [2][5]. Q1 2026 showed a net loss of -$6.3M, indicating volatility in quarterly results. More fundamentally, BXMT scores poorly across the IOWN framework's innovation, inspiration, and infinite game dimensions because it is an externally managed financial vehicle with 29 employees — the framework penalizes pure capital-allocation vehicles that lack their own organizational culture, innovation capacity, and purpose-driven mission. The 11.3% yield compensates for above-average risk, not for excellence.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reduction in impaired loans below $700M would signal CRE credit cycle recovery and support dividend sustainability at the current $1.88 annual rate</w:t>
      </w:r>
    </w:p>
    <w:p>
      <w:pPr>
        <w:spacing w:before="40" w:after="40"/>
        <w:ind w:left="283"/>
      </w:pPr>
      <w:r>
        <w:rPr>
          <w:rFonts w:ascii="Calibri" w:hAnsi="Calibri"/>
          <w:b/>
          <w:color w:val="4A6B25"/>
          <w:sz w:val="20"/>
        </w:rPr>
        <w:t xml:space="preserve">2. </w:t>
      </w:r>
      <w:r>
        <w:rPr>
          <w:rFonts w:ascii="Calibri" w:hAnsi="Calibri"/>
          <w:b w:val="0"/>
          <w:color w:val="3A4A28"/>
          <w:sz w:val="20"/>
        </w:rPr>
        <w:t>Federal Reserve rate cuts could reduce BXMT's funding costs and improve net interest margins, directly boosting distributable earnings and dividend coverage</w:t>
      </w:r>
    </w:p>
    <w:p>
      <w:pPr>
        <w:spacing w:before="40" w:after="40"/>
        <w:ind w:left="283"/>
      </w:pPr>
      <w:r>
        <w:rPr>
          <w:rFonts w:ascii="Calibri" w:hAnsi="Calibri"/>
          <w:b/>
          <w:color w:val="4A6B25"/>
          <w:sz w:val="20"/>
        </w:rPr>
        <w:t xml:space="preserve">3. </w:t>
      </w:r>
      <w:r>
        <w:rPr>
          <w:rFonts w:ascii="Calibri" w:hAnsi="Calibri"/>
          <w:b w:val="0"/>
          <w:color w:val="3A4A28"/>
          <w:sz w:val="20"/>
        </w:rPr>
        <w:t>New loan originations at higher spreads during the CRE recovery phase could improve portfolio quality and yield, supporting a potential dividend increase from the current reduced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payout ratio of 309% signals that the $1.88 annual dividend is covered by distributable earnings ($1.86 FY2025) but not by GAAP net income — any increase in CECL provisions or realized losses could force a second dividend cut [5]</w:t>
      </w:r>
    </w:p>
    <w:p>
      <w:pPr>
        <w:spacing w:before="40" w:after="40"/>
        <w:ind w:left="283"/>
      </w:pPr>
      <w:r>
        <w:rPr>
          <w:rFonts w:ascii="Calibri" w:hAnsi="Calibri"/>
          <w:b/>
          <w:color w:val="4A6B25"/>
          <w:sz w:val="20"/>
        </w:rPr>
        <w:t xml:space="preserve">2. </w:t>
      </w:r>
      <w:r>
        <w:rPr>
          <w:rFonts w:ascii="Calibri" w:hAnsi="Calibri"/>
          <w:b w:val="0"/>
          <w:color w:val="3A4A28"/>
          <w:sz w:val="20"/>
        </w:rPr>
        <w:t>D/E of 464% creates extreme leverage sensitivity — commercial real estate valuation declines, rising interest rates, or credit tightening could rapidly erode the equity cushion supporting $15.85B in debt [2]</w:t>
      </w:r>
    </w:p>
    <w:p>
      <w:pPr>
        <w:spacing w:before="40" w:after="40"/>
        <w:ind w:left="283"/>
      </w:pPr>
      <w:r>
        <w:rPr>
          <w:rFonts w:ascii="Calibri" w:hAnsi="Calibri"/>
          <w:b/>
          <w:color w:val="4A6B25"/>
          <w:sz w:val="20"/>
        </w:rPr>
        <w:t xml:space="preserve">3. </w:t>
      </w:r>
      <w:r>
        <w:rPr>
          <w:rFonts w:ascii="Calibri" w:hAnsi="Calibri"/>
          <w:b w:val="0"/>
          <w:color w:val="3A4A28"/>
          <w:sz w:val="20"/>
        </w:rPr>
        <w:t>UN criticism of Blackstone's housing practices and broader ESG scrutiny of the parent organization creates reputational risk that could affect BXMT's access to institutional capital and borrower relationships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BXMT's core business of originating and managing senior secured commercial real estate loans involves deeply physical collateral (office buildings, multifamily, hospitality, industrial properties), complex legal documentation, relationship-driven deal sourcing through Blackstone's network, and regulatory compliance that AI cannot substitute [4]. Commercial mortgage lending requires capital deployment, legal contract execution, borrower due diligence, property valuation, and workout expertise during distress — all fundamentally human and capital-intensive activities. AI may improve credit underwriting speed or risk modeling accuracy, but it cannot replace the need for capital, regulatory frameworks, or physical property collateral. The Blackstone platform's relationship network and deal flow create moats beyond algorithmic reach. AI Opportunity (0/1): No AI-related revenue or AI products. BXMT is a 29-employee externally managed lending vehicle without technology operations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Blackstone Mortgage Trust FY2025 and Q1 2026 Earnings Releases — $440M FY2025 revenue, $109.6M net income, impaired loans reduced from $2.3B to $700M, IR website,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BXMT Financial Overview, Balance Sheet, Dividend History, and Key Statistics,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Blackstone Mortgage Trust Improving Outlook for 2026, Analyst Coverage, 2026</w:t>
      </w:r>
    </w:p>
    <w:p>
      <w:pPr>
        <w:spacing w:before="20" w:after="20"/>
        <w:ind w:left="170"/>
      </w:pPr>
      <w:r>
        <w:rPr>
          <w:rFonts w:ascii="Calibri" w:hAnsi="Calibri"/>
          <w:b/>
          <w:color w:val="4A6B25"/>
          <w:sz w:val="15"/>
        </w:rPr>
        <w:t xml:space="preserve">4. </w:t>
      </w:r>
      <w:r>
        <w:rPr>
          <w:rFonts w:ascii="Calibri" w:hAnsi="Calibri"/>
          <w:b w:val="0"/>
          <w:color w:val="3A4A28"/>
          <w:sz w:val="17"/>
        </w:rPr>
        <w:t>Blackstone Mortgage Trust Leadership, Governance, and CEO Transition (Tim Johnson) — blackstonemortgagetrust.com,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BXMT Dividend History, ESG Approach, and UN Blackstone Criticism — Nasdaq, MacroTrends, Blackstone ESG PDF, CNBC,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