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CBRL</w:t>
      </w:r>
      <w:r>
        <w:rPr>
          <w:rFonts w:ascii="Calibri" w:hAnsi="Calibri"/>
          <w:b/>
          <w:color w:val="1A2010"/>
          <w:sz w:val="40"/>
        </w:rPr>
        <w:t xml:space="preserve">  Cracker Barrel Old Country Store, Inc.</w:t>
      </w:r>
    </w:p>
    <w:p>
      <w:pPr>
        <w:spacing w:after="120"/>
      </w:pPr>
      <w:r>
        <w:rPr>
          <w:rFonts w:ascii="Calibri" w:hAnsi="Calibri"/>
          <w:b/>
          <w:color w:val="6E8450"/>
          <w:sz w:val="18"/>
        </w:rPr>
        <w:t>GROWTH SLEEVE · 2026-07-28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Cracker Barrel Old Country Store operates a chain of 660+ restaurant and gift shop combination stores across 44 states, serving breakfast, lunch, and dinner with a Southern home-style concept. The company generates approximately 80% of revenue from restaurant operations and 20% from retail gift shop sales. CEO Julie Masino is stepping down August 10, 2026 with David Deno named as incoming chief executive.</w:t>
      </w:r>
    </w:p>
    <w:p>
      <w:r>
        <w:rPr>
          <w:rFonts w:ascii="Calibri" w:hAnsi="Calibri"/>
          <w:b/>
          <w:color w:val="6E8450"/>
          <w:sz w:val="18"/>
        </w:rPr>
        <w:t>76,730 Employees · https://www.crackerbarrel.com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Q3 FY2026 revenue of $797.4M declined 2.9% YoY, an improvement from the 7.9% decline in Q2 but still negative [1]. The turnaround effort under CEO Masino included menu modernization, digital ordering improvements, and a controversial logo rebrand in 2025 that generated backlash. Revenue guidance was raised to $3.27-3.30B (from $3.24-3.27B) and adjusted EBITDA guidance significantly increased to $120-125M (from $85-100M), signaling operational improvement [1]. However, the CEO transition announced July 27 — Masino stepping down August 10 with David Deno incoming — introduces strategic uncertainty. AI Deployment (1/2): Cracker Barrel has deployed AI for labor forecasting (13% staffing cost reduction in pilots), AI-driven loyalty personalization (mid-single-digit revenue lift per member), and estimates $100M in food waste reduction opportunity from AI optimization, but these remain early-stage with limited system-wide impact [2]. Market Share (1/2): Cracker Barrel occupies a unique niche in casual dining with the restaurant-and-retail format, but is losing share in the broader category as revenues continue declining and traffic remains under pressure [1]. Product Pipeline (0/2): The CEO transition creates strategic uncertainty — Deno has not yet articulated a product or innovation roadmap, and menu updates under Masino were incremental [1]. R&amp;D Intensity (0/1): Restaurant industry R&amp;D spending is minimal; no evidence of above-average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Cracker Barrel's identity revolves around 'Pleasing People' through home-style food, Southern hospitality, and the nostalgia of its country store concept — a clear and warm purpose but not distinctive or inspiring beyond the restaurant industry [3]. Community Impact (1/2): Cracker Barrel employs 76,730 people across 44 states, primarily in rural and suburban communities where it serves as a significant local employer. The company publishes ESG reports and was among the first restaurant chains to align with SASB sustainability standards [3]. Employee Retention (0/2): Glassdoor rating of 3.2/5 based on 8,451 reviews with only 37% positive business outlook; compensation rating of 2.9/5 has declined 4% over the last year. Reviews cite poor management, favoritism, and low pay — below average for the restaurant industry [4]. Insider Buying (0/2): No evidence of meaningful insider buying. CEO Masino is departing after approximately 3 years, and incoming CEO Deno has not been reported as a buyer of CBRL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Growth stock (dividend yield 1.94% below 2% threshold). Q3 FY2026 showed improvement with GAAP EPS of $1.90 (including $47.4M interchange fee settlement benefit) and adjusted EPS of $0.29 [1]. Revenue of $797.4M declined 2.9% YoY, a moderation from prior quarters' steeper declines. Full-year adjusted EBITDA guidance raised to $120-125M signals operational progress. D/E of 104.6% reflects $486.6M in convertible notes ($149.9M due June 2026, $336.8M due 2030) [1]. ROE of 5.6% and profit margin of 0.8% remain weak. Forward P/E of 153.2x is extremely elevated for a declining casual dining chain. Scoring (Growth): D/E 105% (0.85, 1x), ROE 5.6% (0.37, 2x), Rev YoY -2.9% (0.57, 1x), Rev 5yr CAGR 2.2% (0.48, 2x), Fwd P/E 153 (0.0, 1x), Profit Margin 0.8% (0.04, 1x). Weighted sum 3.17/8 = 3.96, rounds to 4. Liquidity check: $53.61 x ~1,000,000 avg volume = ~$53.6M,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Cracker Barrel has a genuine heritage-based identity that has endured for 55+ years, but the company is struggling with persistent revenue declines and now a CEO transition that raises questions about strategic continuity. The dramatic dividend cut from $5.20 to $1.00 showed financial pragmatism, but the logo debacle, persistent traffic losses, and Masino's departure after just 3 years suggest a company fighting to survive rather than playing to keep playing. The improved EBITDA guidance provides a glimmer of operational progress, but the infinite game scorecard requires more than one quarter of turnaround momentum.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Cracker Barrel's cause — preserving Southern hospitality and home-style dining — is genuine and has endured since 1969, connecting 660+ stores to a shared cultural identity [3]. However, the cause has not driven competitive advantage in recent years — revenues are declining, traffic is falling, and the brand refresh attempt (logo change) was rejected by the customer base. The cause may be more nostalgia-driven than forward-looking, and the CEO transition adds uncertainty about whether the next leader will maintain or redefine the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3.2/5 with 8,451 reviews and only 37% positive business outlook signals low organizational trust [4]. Compensation rating of 2.9/5 has declined 4% year-over-year. Reviews consistently cite poor management, favoritism, and low pay across the 76,730-person workforce. The CEO transition — Masino departing after only 3 years — adds leadership instability to an already challenged culture. The combination of declining morale, CEO turnover, and persistent business declines creates a low-trust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Masino's arrival from Taco Bell and the adoption of AI-driven operational practices (labor forecasting, loyalty personalization) developed by technology-forward fast-casual competitors demonstrates willingness to learn from rivals' strengths [2]. The company is importing best practices from QSR and fast-casual chains to improve its own operations, framing competitive dynamics as motivation for improvement rather than a zero-sum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Cracker Barrel is attempting to modernize a 55-year-old brand through AI deployment, digital ordering enhancements, menu innovation, and loyalty programs — incremental but real operational evolution [2]. The company has shown willingness to adapt its operations even while preserving the core concept. However, the failed logo rebrand and customer backlash suggest limited tolerance for visible change, and the fundamental restaurant-plus-retail format has not evolved meaningfully in over 50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dividend from $5.20 to $1.00 annually was a painful but necessary decision to preserve capital for the turnaround, demonstrating willingness to absorb shareholder backlash for long-term business health [1]. Raising adjusted EBITDA guidance from $85-100M to $120-125M shows the turnaround investments are producing results. However, the CEO's departure after only 3 years raises questions about whether the board is managing for the long term or reacting to near-term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Cracker Barrel's turnaround is showing early signs of progress — Q3 FY2026 revenue decline moderated to -2.9% (from -7.9% in Q2), adjusted EBITDA guidance was raised to $120-125M (from $85-100M), and the stock has surged 83% from $29.36 to $53.61 on surprise profitability [1]. AI-driven operational improvements have delivered quantifiable results: 13% staffing cost reduction from ML labor forecasting in pilots, mid-single-digit revenue lift from AI loyalty personalization, and $100M food waste reduction opportunity [2]. The brand retains strong awareness with 660+ locations across 44 states serving a distinctive niche in Southern hospitality dining. At $1.19B market cap (0.36x revenue), the stock still prices in significant pessimism — further turnaround evidence could drive continued multiple expansion. The Inspire Impact score of 32 (ALIGNED) reflects positive attributions across multiple ESG dimensions [3].</w:t>
      </w:r>
    </w:p>
    <w:p>
      <w:pPr>
        <w:spacing w:after="120"/>
      </w:pPr>
      <w:r>
        <w:rPr>
          <w:rFonts w:ascii="Calibri" w:hAnsi="Calibri"/>
          <w:b w:val="0"/>
          <w:color w:val="3A4A28"/>
          <w:sz w:val="20"/>
        </w:rPr>
        <w:t>The bear case remains significant despite one quarter of improvement. CEO Julie Masino is stepping down August 10 after only 3 years, with David Deno incoming — this leadership transition mid-turnaround creates strategic discontinuity and execution uncertainty [1]. Revenue is still declining YoY (-2.9% Q3), forward P/E of 153x is extremely elevated for a declining restaurant chain, and the profit margin of 0.8% leaves virtually no margin for error. Debt of $486.6M in convertible notes (including $149.9M due June 2026) creates near-term refinancing risk [1]. The dividend was cut from $5.20 to $1.00 and the yield at 1.94% no longer compensates for the risk profile. Glassdoor ratings of 3.2/5 with only 37% positive outlook and 2.9/5 compensation suggest deteriorating employee morale that undermines operational execution [4]. Casual dining faces secular headwinds from fast-casual competition, delivery platforms, and changing consumer preferences that no amount of AI optimization may overcome.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improvements scaling system-wide — 13% staffing cost reduction and mid-single-digit loyalty revenue lift could materially improve margins if successfully deployed across 660+ locations [2]</w:t>
      </w:r>
    </w:p>
    <w:p>
      <w:pPr>
        <w:spacing w:before="40" w:after="40"/>
        <w:ind w:left="283"/>
      </w:pPr>
      <w:r>
        <w:rPr>
          <w:rFonts w:ascii="Calibri" w:hAnsi="Calibri"/>
          <w:b/>
          <w:color w:val="4A6B25"/>
          <w:sz w:val="20"/>
        </w:rPr>
        <w:t xml:space="preserve">2. </w:t>
      </w:r>
      <w:r>
        <w:rPr>
          <w:rFonts w:ascii="Calibri" w:hAnsi="Calibri"/>
          <w:b w:val="0"/>
          <w:color w:val="3A4A28"/>
          <w:sz w:val="20"/>
        </w:rPr>
        <w:t>New CEO David Deno bringing fresh strategic perspective — if the incoming leader accelerates the turnaround momentum shown in Q3 FY2026 EBITDA improvement, the stock could re-rate further [1]</w:t>
      </w:r>
    </w:p>
    <w:p>
      <w:pPr>
        <w:spacing w:before="40" w:after="40"/>
        <w:ind w:left="283"/>
      </w:pPr>
      <w:r>
        <w:rPr>
          <w:rFonts w:ascii="Calibri" w:hAnsi="Calibri"/>
          <w:b/>
          <w:color w:val="4A6B25"/>
          <w:sz w:val="20"/>
        </w:rPr>
        <w:t xml:space="preserve">3. </w:t>
      </w:r>
      <w:r>
        <w:rPr>
          <w:rFonts w:ascii="Calibri" w:hAnsi="Calibri"/>
          <w:b w:val="0"/>
          <w:color w:val="3A4A28"/>
          <w:sz w:val="20"/>
        </w:rPr>
        <w:t>Revenue trend inflection — Q3 decline of -2.9% significantly better than Q2's -7.9%, and if comparable sales turn positive by late FY2026, the turnaround narrative strengthens substantially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mid-turnaround — Masino's departure after only 3 years and Deno's onboarding creates strategic uncertainty and potential for turnaround momentum to stall during leadership transition [1]</w:t>
      </w:r>
    </w:p>
    <w:p>
      <w:pPr>
        <w:spacing w:before="40" w:after="40"/>
        <w:ind w:left="283"/>
      </w:pPr>
      <w:r>
        <w:rPr>
          <w:rFonts w:ascii="Calibri" w:hAnsi="Calibri"/>
          <w:b/>
          <w:color w:val="4A6B25"/>
          <w:sz w:val="20"/>
        </w:rPr>
        <w:t xml:space="preserve">2. </w:t>
      </w:r>
      <w:r>
        <w:rPr>
          <w:rFonts w:ascii="Calibri" w:hAnsi="Calibri"/>
          <w:b w:val="0"/>
          <w:color w:val="3A4A28"/>
          <w:sz w:val="20"/>
        </w:rPr>
        <w:t>Forward P/E of 153x and profit margin of 0.8% leave zero margin for error — any revenue miss or operational setback would trigger severe multiple compression from the $53.61 post-rally level [1]</w:t>
      </w:r>
    </w:p>
    <w:p>
      <w:pPr>
        <w:spacing w:before="40" w:after="40"/>
        <w:ind w:left="283"/>
      </w:pPr>
      <w:r>
        <w:rPr>
          <w:rFonts w:ascii="Calibri" w:hAnsi="Calibri"/>
          <w:b/>
          <w:color w:val="4A6B25"/>
          <w:sz w:val="20"/>
        </w:rPr>
        <w:t xml:space="preserve">3. </w:t>
      </w:r>
      <w:r>
        <w:rPr>
          <w:rFonts w:ascii="Calibri" w:hAnsi="Calibri"/>
          <w:b w:val="0"/>
          <w:color w:val="3A4A28"/>
          <w:sz w:val="20"/>
        </w:rPr>
        <w:t>Near-term debt refinancing risk with $149.9M in 0.625% Convertible Senior Notes due June 2026 and $336.8M in 1.75% notes due 2030, in a higher-rate environment that could increase interest expense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Cracker Barrel's core business — physical restaurants serving home-cooked meals with an in-person gift shop experience — is inherently protected from AI substitution [2]. Dining out is a physical-world activity centered on hospitality, human interaction, and the distinctive country store atmosphere that AI cannot replicate. The 660+ physical locations, food preparation operations, and retail merchandise require human labor and physical infrastructure. However, AI-driven food delivery platforms and ghost kitchens could modestly pressure dine-in traffic, and AI-enabled competitors may gain operational efficiency advantages faster. AI Opportunity (1/1): Cracker Barrel is actively generating value from AI — machine learning labor forecasting reduced staffing costs by 13% in pilot locations, AI-driven loyalty personalization delivers mid-single-digit revenue lift per member, and the company estimates $100M in food waste reduction opportunity through AI optimization [2]. These represent early but quantifiable AI-driven cost savings and revenue enhancement.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Cracker Barrel Q3 FY2026 Earnings Release — $797.4M revenue (-2.9% YoY), adjusted EBITDA guidance raised to $120-125M, CEO transition announced, June 2026</w:t>
      </w:r>
    </w:p>
    <w:p>
      <w:pPr>
        <w:spacing w:before="20" w:after="20"/>
        <w:ind w:left="170"/>
      </w:pPr>
      <w:r>
        <w:rPr>
          <w:rFonts w:ascii="Calibri" w:hAnsi="Calibri"/>
          <w:b/>
          <w:color w:val="4A6B25"/>
          <w:sz w:val="15"/>
        </w:rPr>
        <w:t xml:space="preserve">2. </w:t>
      </w:r>
      <w:r>
        <w:rPr>
          <w:rFonts w:ascii="Calibri" w:hAnsi="Calibri"/>
          <w:b w:val="0"/>
          <w:color w:val="3A4A28"/>
          <w:sz w:val="17"/>
        </w:rPr>
        <w:t>Restaurant Dive, CIO Dive — Cracker Barrel AI deployment: labor forecasting, loyalty personalization, food waste optimization; logo rebrand controversy, 2025-2026</w:t>
      </w:r>
    </w:p>
    <w:p>
      <w:pPr>
        <w:spacing w:before="20" w:after="20"/>
        <w:ind w:left="170"/>
      </w:pPr>
      <w:r>
        <w:rPr>
          <w:rFonts w:ascii="Calibri" w:hAnsi="Calibri"/>
          <w:b/>
          <w:color w:val="4A6B25"/>
          <w:sz w:val="15"/>
        </w:rPr>
        <w:t xml:space="preserve">3. </w:t>
      </w:r>
      <w:r>
        <w:rPr>
          <w:rFonts w:ascii="Calibri" w:hAnsi="Calibri"/>
          <w:b w:val="0"/>
          <w:color w:val="3A4A28"/>
          <w:sz w:val="17"/>
        </w:rPr>
        <w:t>Cracker Barrel Investor Relations — ESG reports, company history, SASB alignment, brand identity,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Cracker Barrel employee reviews (3.2/5, 8,451 reviews, 37% positive outlook, 2.9/5 compensation),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CBRL stock price $53.61, P/E 44.05, Forward P/E 153.21, D/E 104.55%,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