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CCB</w:t>
      </w:r>
      <w:r>
        <w:rPr>
          <w:rFonts w:ascii="Calibri" w:hAnsi="Calibri"/>
          <w:b/>
          <w:color w:val="1A2010"/>
          <w:sz w:val="40"/>
        </w:rPr>
        <w:t xml:space="preserve">  Coastal Financial Corporation</w:t>
      </w:r>
    </w:p>
    <w:p>
      <w:pPr>
        <w:spacing w:after="120"/>
      </w:pPr>
      <w:r>
        <w:rPr>
          <w:rFonts w:ascii="Calibri" w:hAnsi="Calibri"/>
          <w:b/>
          <w:color w:val="6E8450"/>
          <w:sz w:val="18"/>
        </w:rPr>
        <w:t>GROWTH SLEEVE · 2026-08-10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Coastal Financial Corporation operates as the bank holding company for Coastal Community Bank, providing traditional community banking services and a banking-as-a-service (CCBX) platform that enables fintech partners to offer FDIC-insured deposit, lending, and card products. Headquartered in Everett, Washington, with $5.5 billion in total assets and 15.3 million shares outstanding.</w:t>
      </w:r>
    </w:p>
    <w:p>
      <w:r>
        <w:rPr>
          <w:rFonts w:ascii="Calibri" w:hAnsi="Calibri"/>
          <w:b/>
          <w:color w:val="6E8450"/>
          <w:sz w:val="18"/>
        </w:rPr>
        <w:t>500 Employees · https://www.coastalbank.com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Coastal transformed from a small community bank ($97.6M revenue in FY2021) into a significant banking-as-a-service provider ($349M revenue in FY2025) through its CCBX platform, which now powers multiple fintech partners with FDIC-insured products [1][2]. The GreenFi climate-friendly fintech acquisition added a new consumer vertical. However, CCBX is a single platform evolving incrementally rather than multiple successful launches. AI Deployment (0/2): No evidence of AI-powered products shipping to customers or quantified AI-driven cost savings. Market Share (1/2): Coastal is a meaningful but not dominant BaaS provider — Cross River Bank, Evolve Bank, and others serve larger fintech ecosystems, though Coastal's 49% Q2 2026 YoY revenue growth shows rapid share gains in its niche [1]. Product Pipeline (1/2): Appointment of Ryan Hall as Chief Product Officer signals platform development focus, and the company continues expanding CCBX partner relationships, though no specific next-gen products have been announced with timelines [3]. R&amp;D Intensity (0/1): No above-average R&amp;D spending data available; banks do not typically report R&amp;D metrics.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Coastal positions itself as a community bank and fintech enabler, but the mission is functionally generic — enabling fintech partners to serve consumers through banking infrastructure does not articulate a distinctive purpose beyond business growth. Community Impact (0/2): The GreenFi acquisition signals environmental awareness but is a business initiative, not philanthropy; no evidence of significant charitable programs, community investment, or dollar amounts committed [6]. Employee Retention (0/2): Glassdoor rating of 4.0/5.0 but only 51% of employees recommend the company and 35% have a positive business outlook, suggesting mixed internal sentiment [3]. No specific tenure or voluntary turnover data available. Insider Buying (2/2): CEO Eric Sprink purchased 10,000 shares at $44.45 on August 6, 2026, investing $444,500 of personal capital days after the stock dropped 43.5% on the Q2 credit loss — a strong conviction signal from the top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of $178.1M grew 49.1% YoY ($119.4M in Q2 2025), but a $68.8M one-time credit expense from a single CCBX partner relationship drove a net loss of $42.1M and diluted EPS of -$2.76 [1]. TTM profit margin of -1.06% and ROE of -0.83% are entirely attributable to this isolated event; Q1 2026 ROE was 9.8% and normalized FY2025 profit margin was 13.5% [2]. Balance sheet is conservatively managed with D/E of 11.4% ($52.6M total debt against $463.4M equity), and the company holds $1.01B cash plus $1.12B contingent borrowing capacity [1]. Forward P/E of 9.41 reflects analyst expectations of earnings normalization. Five-year revenue CAGR of approximately 37.5% (FY2021-FY2025) demonstrates sustained organic growth through BaaS expansion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Coastal Financial operates with a growth-oriented business strategy but lacks a clearly articulated Just Cause in Sinek's framework. The company's BaaS transformation shows strategic flexibility and the CEO's stock purchase after the Q2 loss demonstrates personal conviction, but the organization is fundamentally optimizing for revenue growth and scale rather than advancing a vision of a better future that would endure beyond any single leader or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Coastal's purpose centers on enabling fintech innovation through its banking platform, but this reads as a business strategy rather than a Just Cause — it does not describe a future state so appealing that people would sacrifice to advance it. CEO Sprink's public statements emphasize growth, scale, and talent acquisition rather than a transformative vision for financial services [3]. The community bank roots provide a service orientation, but the BaaS platform is fundamentally a scale play, not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Coastal expanded its executive team with four key appointments in 2025 — CPO, CCO, CCrO, and CISO — bringing experienced external leaders into the organization, suggesting an openness to fresh perspectives [3]. Glassdoor rating of 4.0/5.0 with culture and values rated 4.1/5.0 indicates generally positive employee sentiment. However, only 51% of employees recommend the company and a July 2026 CFO transition during the credit crisis adds some leadership instability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Coastal's public communications do not reference learning from competitors like Cross River Bank, Evolve, or other BaaS providers. The competitive language focuses on Coastal's own growth and differentiation rather than acknowledging rivals' strengths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Coastal's evolution from a traditional community bank to a BaaS-powered fintech platform represents meaningful strategic adaptation — revenue grew from $97.6M (FY2021) to $349M (FY2025) primarily through CCBX partnerships rather than traditional branch expansion [2][4]. However, this was an additive transformation (community banking continues alongside BaaS) rather than a painful, transformative pivot that required abandoning the core business. The company expanded its model rather than reinventing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Sprink invested $444,500 of personal capital in CCB stock within days of a 43.5% share price decline caused by the Q2 2026 credit loss — a meaningful demonstration of personal conviction during crisis [5]. The company has maintained its 9-year commitment to the BaaS strategy despite the reputational damage from the $68.8M partner-related loss, choosing to strengthen the platform rather than retreat [1]. However, the company's overall strategic direction has been consistently growth-seeking rather than involving difficult trade-offs between short-term earnings and long-term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Coastal Financial's CCBX banking-as-a-service platform has driven a remarkable revenue transformation — from $97.6M in FY2021 to $349M in FY2025 and $178M in Q2 2026 alone (49% YoY growth) — positioning the company as a significant fintech infrastructure provider with a conservative balance sheet (D/E of 11.4%, $1.01B cash on hand) [1][2][4]. Forward P/E of 9.41 reflects deep value pricing as analysts project earnings normalization with consensus EPS of $4.40 for next year, implying the market is pricing in too much credit risk from the isolated Q2 partner event. With $5.5B in assets and a capital-light platform model, the BaaS franchise has significant operating leverage as new partners scale on existing infrastructure.</w:t>
      </w:r>
    </w:p>
    <w:p>
      <w:pPr>
        <w:spacing w:after="120"/>
      </w:pPr>
      <w:r>
        <w:rPr>
          <w:rFonts w:ascii="Calibri" w:hAnsi="Calibri"/>
          <w:b w:val="0"/>
          <w:color w:val="3A4A28"/>
          <w:sz w:val="20"/>
        </w:rPr>
        <w:t>The Q2 2026 loss exposed critical concentration risk: a single CCBX partner relationship generated a $68.8M credit expense ($22.8M provision plus $46.0M valuation adjustment on credit enhancement assets), wiping out an entire quarter of profitability and triggering securities fraud investigations from law firms Holzer &amp; Holzer and Kirby McInerney [1][3]. The stock has declined 52% from its January 2026 all-time high of $118.97. Nonperforming loans rose to 1.79% of total loans with net charge-offs annualizing at 5.18% — both elevated for a bank of this size [1][2]. The BaaS model inherently creates exposure to fintech partners' credit quality, and Coastal's risk management framework has proven inadequate at preventing large single-counterparty losses. Additionally, the CFO transition announced in July 2026 during a crisis period raises governance questions about leadership stability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normalization in H2 2026 as the isolated $68.8M credit expense rolls off, with forward P/E of 9.41 implying significant upside if credit quality stabilizes</w:t>
      </w:r>
    </w:p>
    <w:p>
      <w:pPr>
        <w:spacing w:before="40" w:after="40"/>
        <w:ind w:left="283"/>
      </w:pPr>
      <w:r>
        <w:rPr>
          <w:rFonts w:ascii="Calibri" w:hAnsi="Calibri"/>
          <w:b/>
          <w:color w:val="4A6B25"/>
          <w:sz w:val="20"/>
        </w:rPr>
        <w:t xml:space="preserve">2. </w:t>
      </w:r>
      <w:r>
        <w:rPr>
          <w:rFonts w:ascii="Calibri" w:hAnsi="Calibri"/>
          <w:b w:val="0"/>
          <w:color w:val="3A4A28"/>
          <w:sz w:val="20"/>
        </w:rPr>
        <w:t>CCBX platform revenue growth momentum continuing at 40%+ YoY as existing partners scale and new fintech relationships are onboarded</w:t>
      </w:r>
    </w:p>
    <w:p>
      <w:pPr>
        <w:spacing w:before="40" w:after="40"/>
        <w:ind w:left="283"/>
      </w:pPr>
      <w:r>
        <w:rPr>
          <w:rFonts w:ascii="Calibri" w:hAnsi="Calibri"/>
          <w:b/>
          <w:color w:val="4A6B25"/>
          <w:sz w:val="20"/>
        </w:rPr>
        <w:t xml:space="preserve">3. </w:t>
      </w:r>
      <w:r>
        <w:rPr>
          <w:rFonts w:ascii="Calibri" w:hAnsi="Calibri"/>
          <w:b w:val="0"/>
          <w:color w:val="3A4A28"/>
          <w:sz w:val="20"/>
        </w:rPr>
        <w:t>CEO insider buying of $444,500 at $44.45 per share signals management conviction that the Q2 loss was truly isolated and not systemic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investigation by multiple law firms could result in costly litigation, management distraction, and potential damages if material misrepresentation is proven regarding BaaS partner risk disclosures</w:t>
      </w:r>
    </w:p>
    <w:p>
      <w:pPr>
        <w:spacing w:before="40" w:after="40"/>
        <w:ind w:left="283"/>
      </w:pPr>
      <w:r>
        <w:rPr>
          <w:rFonts w:ascii="Calibri" w:hAnsi="Calibri"/>
          <w:b/>
          <w:color w:val="4A6B25"/>
          <w:sz w:val="20"/>
        </w:rPr>
        <w:t xml:space="preserve">2. </w:t>
      </w:r>
      <w:r>
        <w:rPr>
          <w:rFonts w:ascii="Calibri" w:hAnsi="Calibri"/>
          <w:b w:val="0"/>
          <w:color w:val="3A4A28"/>
          <w:sz w:val="20"/>
        </w:rPr>
        <w:t>BaaS concentration risk remains unresolved — the Q2 2026 loss demonstrated that a single partner failure can eliminate quarterly profitability, and the model's counterparty exposure is structurally difficult to diversify quickly</w:t>
      </w:r>
    </w:p>
    <w:p>
      <w:pPr>
        <w:spacing w:before="40" w:after="40"/>
        <w:ind w:left="283"/>
      </w:pPr>
      <w:r>
        <w:rPr>
          <w:rFonts w:ascii="Calibri" w:hAnsi="Calibri"/>
          <w:b/>
          <w:color w:val="4A6B25"/>
          <w:sz w:val="20"/>
        </w:rPr>
        <w:t xml:space="preserve">3. </w:t>
      </w:r>
      <w:r>
        <w:rPr>
          <w:rFonts w:ascii="Calibri" w:hAnsi="Calibri"/>
          <w:b w:val="0"/>
          <w:color w:val="3A4A28"/>
          <w:sz w:val="20"/>
        </w:rPr>
        <w:t>Net charge-offs annualizing at 5.18% and nonperforming loans at 1.79% suggest credit quality deterioration that could extend beyond the single isolated partner, particularly if fintech lending standards prove systemically weak across the CCBX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Coastal's core banking infrastructure — the FDIC-insured banking charter, regulatory compliance framework, and partner settlement systems — creates structural moats that AI cannot substitute. Banking-as-a-service requires a chartered bank's regulatory status, capital reserves, and compliance oversight, none of which AI can replicate [1][2]. However, the BaaS model faces indirect AI risk: AI-native fintechs could reduce their dependency on bank sponsors by pursuing their own charters, and AI-powered credit decisioning could commoditize the underwriting capabilities Coastal provides to partners. The Q2 2026 credit loss from a single partner highlights concentration risk inherent in the BaaS model [1]. AI Opportunity (0/1): No evidence of AI-generated revenue. Coastal has not announced AI-powered products or services, and no AI-related revenue contribution was identified in earnings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Coastal Financial Corporation Q2 2026 Results — GlobeNewsWire, July 30, 2026</w:t>
      </w:r>
    </w:p>
    <w:p>
      <w:pPr>
        <w:spacing w:before="20" w:after="20"/>
        <w:ind w:left="170"/>
      </w:pPr>
      <w:r>
        <w:rPr>
          <w:rFonts w:ascii="Calibri" w:hAnsi="Calibri"/>
          <w:b/>
          <w:color w:val="4A6B25"/>
          <w:sz w:val="15"/>
        </w:rPr>
        <w:t xml:space="preserve">2. </w:t>
      </w:r>
      <w:r>
        <w:rPr>
          <w:rFonts w:ascii="Calibri" w:hAnsi="Calibri"/>
          <w:b w:val="0"/>
          <w:color w:val="3A4A28"/>
          <w:sz w:val="17"/>
        </w:rPr>
        <w:t>Coastal Financial Corporation Q1 2026 Results — GlobeNewsWire, April 29, 2026</w:t>
      </w:r>
    </w:p>
    <w:p>
      <w:pPr>
        <w:spacing w:before="20" w:after="20"/>
        <w:ind w:left="170"/>
      </w:pPr>
      <w:r>
        <w:rPr>
          <w:rFonts w:ascii="Calibri" w:hAnsi="Calibri"/>
          <w:b/>
          <w:color w:val="4A6B25"/>
          <w:sz w:val="15"/>
        </w:rPr>
        <w:t xml:space="preserve">3. </w:t>
      </w:r>
      <w:r>
        <w:rPr>
          <w:rFonts w:ascii="Calibri" w:hAnsi="Calibri"/>
          <w:b w:val="0"/>
          <w:color w:val="3A4A28"/>
          <w:sz w:val="17"/>
        </w:rPr>
        <w:t>Coastal Expands Executive Team / CFO Transition / Securities Fraud Investigations — Coastal Financial IR and GlobeNewsWire, 2025-2026</w:t>
      </w:r>
    </w:p>
    <w:p>
      <w:pPr>
        <w:spacing w:before="20" w:after="20"/>
        <w:ind w:left="170"/>
      </w:pPr>
      <w:r>
        <w:rPr>
          <w:rFonts w:ascii="Calibri" w:hAnsi="Calibri"/>
          <w:b/>
          <w:color w:val="4A6B25"/>
          <w:sz w:val="15"/>
        </w:rPr>
        <w:t xml:space="preserve">4. </w:t>
      </w:r>
      <w:r>
        <w:rPr>
          <w:rFonts w:ascii="Calibri" w:hAnsi="Calibri"/>
          <w:b w:val="0"/>
          <w:color w:val="3A4A28"/>
          <w:sz w:val="17"/>
        </w:rPr>
        <w:t>CCB Key Financial Statistics — stockanalysis.com,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Insider Buying: CEO Eric Sprink Purchases $444,500 in CCB Stock — Daily Political, August 7, 2026</w:t>
      </w:r>
    </w:p>
    <w:p>
      <w:pPr>
        <w:spacing w:before="20" w:after="20"/>
        <w:ind w:left="170"/>
      </w:pPr>
      <w:r>
        <w:rPr>
          <w:rFonts w:ascii="Calibri" w:hAnsi="Calibri"/>
          <w:b/>
          <w:color w:val="4A6B25"/>
          <w:sz w:val="15"/>
        </w:rPr>
        <w:t xml:space="preserve">6. </w:t>
      </w:r>
      <w:r>
        <w:rPr>
          <w:rFonts w:ascii="Calibri" w:hAnsi="Calibri"/>
          <w:b w:val="0"/>
          <w:color w:val="3A4A28"/>
          <w:sz w:val="17"/>
        </w:rPr>
        <w:t>Coastal Financial ESG Risk Rating — Sustainalytics,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