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CHCT</w:t>
      </w:r>
      <w:r>
        <w:rPr>
          <w:rFonts w:ascii="Calibri" w:hAnsi="Calibri"/>
          <w:b/>
          <w:color w:val="1A2010"/>
          <w:sz w:val="40"/>
        </w:rPr>
        <w:t xml:space="preserve">  Community Healthcare Trust Incorporated</w:t>
      </w:r>
    </w:p>
    <w:p>
      <w:pPr>
        <w:spacing w:after="120"/>
      </w:pPr>
      <w:r>
        <w:rPr>
          <w:rFonts w:ascii="Calibri" w:hAnsi="Calibri"/>
          <w:b/>
          <w:color w:val="6E8450"/>
          <w:sz w:val="18"/>
        </w:rPr>
        <w:t>DIVIDEND SLEEVE · 2026-08-19 · Inspire: 0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42</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Real Estate · REIT - Healthcare Facilities · NYSE · United States</w:t>
      </w:r>
    </w:p>
    <w:p>
      <w:pPr>
        <w:spacing w:after="80"/>
      </w:pPr>
      <w:r>
        <w:rPr>
          <w:rFonts w:ascii="Calibri" w:hAnsi="Calibri"/>
          <w:b w:val="0"/>
          <w:color w:val="3A4A28"/>
          <w:sz w:val="20"/>
        </w:rPr>
        <w:t>Community Healthcare Trust Incorporated is a self-managed, fully-integrated healthcare real estate investment trust that acquires, owns, and manages healthcare properties leased to hospitals, doctors, and healthcare service providers primarily in non-urban and secondary markets. Founded in 2014 and headquartered in Franklin, Tennessee, the company holds approximately $1.2 billion in gross real estate investments across 198 properties totaling 4.52 million square feet in 36 states. The portfolio includes medical office buildings, physician clinics, outpatient treatment facilities, behavioral health properties, and inpatient rehabilitation facilities. CEO David Dupuy assumed leadership after founder Timothy Wallace's passing in March 2023. In Q2 2026, CHCT cut its quarterly dividend 31% from $0.48 to $0.33 to fund a $99M acquisition pipeline and portfolio reinvestment, resetting the AFFO payout ratio from 87% to approximately 60%.</w:t>
      </w:r>
    </w:p>
    <w:p>
      <w:r>
        <w:rPr>
          <w:rFonts w:ascii="Calibri" w:hAnsi="Calibri"/>
          <w:b/>
          <w:color w:val="6E8450"/>
          <w:sz w:val="18"/>
        </w:rPr>
        <w:t>50 Employees · https://www.chct.reit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(0/3): CHCT has not executed any meaningful product launches, market pivots, or business model transformations in the last 5 years — the company operates the same non-urban healthcare REIT model it has since its 2015 IPO, growing its portfolio incrementally from ~150 to 198 properties [5]. The Q2 2026 strategic capital reallocation (dividend cut to fund acquisitions) is a financial management decision still unproven, not a transformative business pivot. AI Deployment (0/2): No AI-powered products, services, or internal AI-driven efficiency programs are evident; property management and leasing operations follow traditional real estate practices [5]. Market Share (0/2): CHCT is a small-cap REIT with a $421M market cap in a highly fragmented healthcare real estate market dominated by players 10-50x larger (Welltower, Ventas, Healthpeak), with no evidence of category leadership or accelerating share gains [3]. Product Pipeline (1/2): The company has a specific $99M acquisition pipeline under contract at 9-10% expected yields with approximately 2.5% annual rent escalators, plus $70M+ of marketed dispositions for capital recycling, providing moderate visibility into near-term portfolio growth [1][4]. R&amp;D Intensity (0/1): Not applicable — REITs do not conduct R&amp;D, and CHCT has no technology development or innovation spending.</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CHCT's stated aspiration is to 'generate durable shareholder returns from a high-quality portfolio of healthcare real estate that produces stable cash flow and supports a reliable dividend' — a generic, shareholder-return-focused purpose interchangeable with any income REIT [5]. While the non-urban healthcare focus implicitly serves underserved communities, the mission does not articulate a deeper purpose beyond financial returns. Community &amp; Charitable Impact (0/2): No evidence of corporate philanthropy, charitable giving programs, foundation activity, or community investment initiatives was found in public filings, press releases, or the company website [5]. Employee Retention &amp; Tenure (0/2): No specific data on employee turnover, average tenure, or organizational culture was publicly available; as a self-managed REIT with approximately 50 employees, the company does not disclose workforce metrics [5]. Insider Buying (2/2): CEO David Dupuy purchased 10,000 shares of CHCT common stock on August 14, 2026 in an open-market transaction at a weighted average price of $15.13 per share, totaling approximately $151,300 — meaningful conviction buying by the chief executive at near 52-week lows [4].</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using the dividend stock algorithm. CHCT's infrastructure is dragged down by GAAP profitability distortions inherent to REITs — ROE of 1.13% and profit margin of 4.21% reflect heavy depreciation charges on the $1.2B property portfolio, scoring near-zero on both metrics [3]. D/E of 140% is elevated but within the scoring range (0.70 metric score), reflecting $564M in total debt that is typical for a leveraged REIT but above the 70% target. Revenue growth is modest at 4.8% YoY and 3.9% 5-year CAGR, well below the 10% targets, as CHCT grows through acquisitions rather than organic rent increases [2]. Forward P/E of 34.49x (based on GAAP earnings) scores 0.64, though P/FFO would show a more favorable ~15x valuation. The post-cut AFFO payout ratio of 60% scores reasonably at 0.67 [1]. Consecutive years paid (11) scores at the cap, but the 31% dividend cut in Q2 2026 breaks the growth streak (consecutive years growth = 0) and drives the 5-year dividend growth CAGR to -5.6%, both scoring zero with combined 3x weight [1]. Liquidity: 279,000 × $16.86 = $4.7M daily, easily clearing the $1M floor.</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B8860B"/>
          <w:sz w:val="28"/>
        </w:rPr>
        <w:t>4</w:t>
      </w:r>
      <w:r>
        <w:rPr>
          <w:rFonts w:ascii="Calibri" w:hAnsi="Calibri"/>
          <w:b w:val="0"/>
          <w:color w:val="9DAF88"/>
          <w:sz w:val="18"/>
        </w:rPr>
        <w:t xml:space="preserve"> /10</w:t>
      </w:r>
    </w:p>
    <w:p>
      <w:pPr>
        <w:spacing w:after="120"/>
      </w:pPr>
      <w:r>
        <w:rPr>
          <w:rFonts w:ascii="Calibri" w:hAnsi="Calibri"/>
          <w:b w:val="0"/>
          <w:color w:val="3A4A28"/>
          <w:sz w:val="18"/>
        </w:rPr>
        <w:t>CHCT operates with a predominantly finite mindset — the company's articulated purpose centers on shareholder returns and dividend stability rather than a transformative vision for healthcare access in underserved communities. The founding CEO's (Timothy Wallace) passing in March 2023 severed the connection to whatever original Just Cause may have existed, and successor David Dupuy's leadership has been pragmatically focused on stabilizing the portfolio and resetting capital allocation rather than articulating a renewed purpose. The 31% dividend cut demonstrates courage to prioritize long-term portfolio quality over short-term income, and Dupuy's insider buying signals personal conviction, but the company lacks the purpose-driven identity that characterizes infinite game players.</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CHCT's stated purpose — generating durable shareholder returns from healthcare real estate — is a financial objective, not a Just Cause in Sinek's framework [5]. The company's non-urban healthcare focus could be articulated as 'ensuring healthcare access in underserved communities,' but management does not frame the business in these terms. The founding CEO's vision died with Timothy Wallace in 2023, and the current leadership has not articulated a purpose beyond financial performance. The company exists to make money from healthcare properties, which is a finite game by definition.</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The smooth leadership transition after founder Timothy Wallace's unexpected passing in March 2023 — with CFO David Dupuy stepping up to CEO — demonstrates organizational stability and an implicit circle of safety within the small executive team [4]. The company's self-managed structure with approximately 50 employees suggests a lean, closely-knit organization. However, no specific evidence of employee empowerment, cultural practices, voluntary turnover data, or psychological safety indicators is publicly available to distinguish CHCT's organizational trust level from average.</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was found of management acknowledging competitors' strengths, learning from larger healthcare REITs' strategies, or framing competitive dynamics as motivation for improvement [5]. CHCT's non-urban market focus is a differentiation strategy but is not articulated in terms of competitive learning — management describes it as a niche with less institutional competition rather than an area of self-improvement inspired by rivals' strengths.</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The Q2 2026 dividend cut from $0.48 to $0.33 per share represents an incremental strategic shift — abandoning the quarterly dividend increase streak that defined CHCT's identity since IPO in order to retain $25-30M over 24 months for acquisitions, redevelopment, and occupancy improvement [1]. For a REIT whose investor base prized the reliable dividend growth, this was a meaningful change in capital allocation philosophy. However, the shift is financial restructuring, not a transformative business model pivot — CHCT still acquires and leases healthcare properties in non-urban markets using the same model it has operated since founding.</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CEO Dupuy's decision to cut the dividend 31% in Q2 2026 — ending an 11-year streak of quarterly increases — demonstrates willingness to sacrifice short-term income investor satisfaction for long-term portfolio quality [1]. The cut lowered the AFFO payout ratio from 87% to 60%, freeing $25-30M over 24 months for acquisitions and redevelopment at 9-12% yields. Dupuy followed this with a personal $151K open-market stock purchase at $15.13 per share in August 2026, putting his own capital behind the strategic reset [4]. This combination of painful capital allocation discipline and personal financial conviction represents at least one clear example of choosing long-term capability over short-term earnings.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CHCT at $16.86 offers a deep-value entry into a healthcare REIT trading at ~70% below its 2022 highs, with a 7.83% forward dividend yield and a strategic capital reallocation that should drive FFO growth. The post-cut AFFO payout ratio of 60% (vs. 87% prior) retains $25-30M over 24 months to fund a $99M acquisition pipeline at 9-10% yields with ~2.5% annual escalators, plus $70M+ of capital recycling dispositions and occupancy improvement from 89.8% toward the 92% target — an estimated $6M in incremental annualized NOI [1][4]. Q1 2026 showed early momentum with revenue up 4.8% YoY to $31.5M, FFO up 5.8% to $0.50/share, and net income up 60% [2]. CEO Dupuy's $151K open-market purchase at $15.13 in August 2026 signals insider conviction in the turnaround thesis, and 4 analysts maintain a consensus Buy rating with an $18.75 average price target representing ~11% upside [3][4].</w:t>
      </w:r>
    </w:p>
    <w:p>
      <w:pPr>
        <w:spacing w:after="120"/>
      </w:pPr>
      <w:r>
        <w:rPr>
          <w:rFonts w:ascii="Calibri" w:hAnsi="Calibri"/>
          <w:b w:val="0"/>
          <w:color w:val="3A4A28"/>
          <w:sz w:val="20"/>
        </w:rPr>
        <w:t>The bear case centers on weak GAAP profitability, elevated leverage, and broken dividend growth momentum. ROE of 1.13% and profit margin of 4.21% — even accounting for REIT depreciation distortions — suggest the portfolio generates returns barely above cost of capital, and the trailing P/E of 153x reflects minimal GAAP earnings power [3]. Debt-to-equity of 140% with $564M in total debt against a $421M market cap creates financial fragility if interest rates remain elevated or healthcare property values decline. Revenue growth of 4.8% YoY and 3.9% 5-year CAGR significantly trail the healthcare REIT peer group growing at ~13% per annum, exposing CHCT as a laggard in its sector [2]. The 31% dividend cut breaks an 11-year streak of quarterly increases, potentially triggering forced selling by income-focused funds and damaging investor trust that may take years to rebuild. Occupancy at 89.8% leaves over 10% of the 4.52M sq ft portfolio vacant, and re-leasing healthcare facilities in secondary and non-urban markets is structurally more difficult than in urban centers [1]. The $99M acquisition pipeline, while promising, has not yet closed or contributed to earnings, and execution risk is elevated for a small REIT team navigating a higher interest rate environment.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Occupancy improvement from 89.8% to management's 92% target would add approximately $6M in annualized net operating income, representing a meaningful boost to FFO per share — management has signaled up to 100 basis points of occupancy growth achievable by year-end 2026 [1][2]</w:t>
      </w:r>
    </w:p>
    <w:p>
      <w:pPr>
        <w:spacing w:before="40" w:after="40"/>
        <w:ind w:left="283"/>
      </w:pPr>
      <w:r>
        <w:rPr>
          <w:rFonts w:ascii="Calibri" w:hAnsi="Calibri"/>
          <w:b/>
          <w:color w:val="4A6B25"/>
          <w:sz w:val="20"/>
        </w:rPr>
        <w:t xml:space="preserve">2. </w:t>
      </w:r>
      <w:r>
        <w:rPr>
          <w:rFonts w:ascii="Calibri" w:hAnsi="Calibri"/>
          <w:b w:val="0"/>
          <w:color w:val="3A4A28"/>
          <w:sz w:val="20"/>
        </w:rPr>
        <w:t>$99M acquisition pipeline at 9-10% yields with ~2.5% annual rent escalators, funded by retained capital from the dividend cut and $70M+ in strategic dispositions, could accelerate FFO growth above the current 5.8% trajectory if executed at target economics [1][4]</w:t>
      </w:r>
    </w:p>
    <w:p>
      <w:pPr>
        <w:spacing w:before="40" w:after="40"/>
        <w:ind w:left="283"/>
      </w:pPr>
      <w:r>
        <w:rPr>
          <w:rFonts w:ascii="Calibri" w:hAnsi="Calibri"/>
          <w:b/>
          <w:color w:val="4A6B25"/>
          <w:sz w:val="20"/>
        </w:rPr>
        <w:t xml:space="preserve">3. </w:t>
      </w:r>
      <w:r>
        <w:rPr>
          <w:rFonts w:ascii="Calibri" w:hAnsi="Calibri"/>
          <w:b w:val="0"/>
          <w:color w:val="3A4A28"/>
          <w:sz w:val="20"/>
        </w:rPr>
        <w:t>CEO Dupuy's $151K open-market stock purchase at $15.13 (August 14, 2026) at near 52-week lows may signal a bottom — the stock has declined approximately 64% from its 2022 highs near $47, potentially offering a deep-value reset entry for patient capital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Elevated leverage with debt-to-equity of 140% and $564M total debt against a $421M market cap creates refinancing risk in a higher interest rate environment — if cap rates expand or property values decline, CHCT's balance sheet has limited margin of safety [3]</w:t>
      </w:r>
    </w:p>
    <w:p>
      <w:pPr>
        <w:spacing w:before="40" w:after="40"/>
        <w:ind w:left="283"/>
      </w:pPr>
      <w:r>
        <w:rPr>
          <w:rFonts w:ascii="Calibri" w:hAnsi="Calibri"/>
          <w:b/>
          <w:color w:val="4A6B25"/>
          <w:sz w:val="20"/>
        </w:rPr>
        <w:t xml:space="preserve">2. </w:t>
      </w:r>
      <w:r>
        <w:rPr>
          <w:rFonts w:ascii="Calibri" w:hAnsi="Calibri"/>
          <w:b w:val="0"/>
          <w:color w:val="3A4A28"/>
          <w:sz w:val="20"/>
        </w:rPr>
        <w:t>GAAP profitability remains near-zero with 1.13% ROE and 4.21% profit margin, and while REIT depreciation distorts these figures, the weak earnings power limits the company's ability to self-fund growth or absorb tenant defaults without further dividend pressure [3]</w:t>
      </w:r>
    </w:p>
    <w:p>
      <w:pPr>
        <w:spacing w:before="40" w:after="40"/>
        <w:ind w:left="283"/>
      </w:pPr>
      <w:r>
        <w:rPr>
          <w:rFonts w:ascii="Calibri" w:hAnsi="Calibri"/>
          <w:b/>
          <w:color w:val="4A6B25"/>
          <w:sz w:val="20"/>
        </w:rPr>
        <w:t xml:space="preserve">3. </w:t>
      </w:r>
      <w:r>
        <w:rPr>
          <w:rFonts w:ascii="Calibri" w:hAnsi="Calibri"/>
          <w:b w:val="0"/>
          <w:color w:val="3A4A28"/>
          <w:sz w:val="20"/>
        </w:rPr>
        <w:t>Tenant concentration risk in non-urban healthcare markets is structurally higher than urban portfolios — if a major tenant defaults or vacates, re-leasing specialized healthcare facilities (behavioral health, rehab, outpatient surgery) in secondary markets can take 12-24 months, amplifying the impact on an already 89.8%-leased portfolio [2][5]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CHCT's core business — owning and leasing physical healthcare real estate properties — is structurally protected from AI disruption. Medical office buildings, outpatient treatment facilities, behavioral health centers, and inpatient rehabilitation facilities require physical spaces that AI cannot replace [5]. The non-urban market focus provides additional insulation, as telehealth adoption disproportionately affects urban specialist visits rather than the community-based primary care, behavioral health, and rehabilitation services that comprise CHCT's tenant base. The aging Baby Boomer demographic creates secular tailwinds for healthcare real estate demand regardless of AI adoption. However, telehealth does create moderate risk to medical office demand on the margin — some routine consultations are permanently migrating to virtual delivery, potentially reducing tenant demand for a portion of CHCT's medical office portfolio over time. Analysts have not flagged AI as a material risk factor for healthcare REITs. AI Opportunity (0/1): CHCT generates no revenue from AI-related products or services and has no disclosed AI deployment in property management or leasing operations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Community Healthcare Trust Q2 2026 Earnings Release — Revenue $31.2M, FFO $13.2M ($0.48/share), AFFO $15.4M ($0.56/share), Dividend Cut to $0.33/Quarter (31% Reduction), July 2026</w:t>
      </w:r>
    </w:p>
    <w:p>
      <w:pPr>
        <w:spacing w:before="20" w:after="20"/>
        <w:ind w:left="170"/>
      </w:pPr>
      <w:r>
        <w:rPr>
          <w:rFonts w:ascii="Calibri" w:hAnsi="Calibri"/>
          <w:b/>
          <w:color w:val="4A6B25"/>
          <w:sz w:val="15"/>
        </w:rPr>
        <w:t xml:space="preserve">2. </w:t>
      </w:r>
      <w:r>
        <w:rPr>
          <w:rFonts w:ascii="Calibri" w:hAnsi="Calibri"/>
          <w:b w:val="0"/>
          <w:color w:val="3A4A28"/>
          <w:sz w:val="17"/>
        </w:rPr>
        <w:t>Community Healthcare Trust Q1 2026 Earnings Release — Revenue $31.5M (+4.8% YoY), FFO $0.50/share (+5.8%), Net Income $2.5M (+60.2%), Portfolio 89.8% Leased, April 2026</w:t>
      </w:r>
    </w:p>
    <w:p>
      <w:pPr>
        <w:spacing w:before="20" w:after="20"/>
        <w:ind w:left="170"/>
      </w:pPr>
      <w:r>
        <w:rPr>
          <w:rFonts w:ascii="Calibri" w:hAnsi="Calibri"/>
          <w:b/>
          <w:color w:val="4A6B25"/>
          <w:sz w:val="15"/>
        </w:rPr>
        <w:t xml:space="preserve">3. </w:t>
      </w:r>
      <w:r>
        <w:rPr>
          <w:rFonts w:ascii="Calibri" w:hAnsi="Calibri"/>
          <w:b w:val="0"/>
          <w:color w:val="3A4A28"/>
          <w:sz w:val="17"/>
        </w:rPr>
        <w:t>StockAnalysis, WallStreetZen, Simply Wall St — CHCT Key Statistics: Forward P/E 34.49x, ROE 1.13%, D/E 140%, Profit Margin 4.21%, Stock Price $16.86, Avg Volume 279K, accessed August 2026</w:t>
      </w:r>
    </w:p>
    <w:p>
      <w:pPr>
        <w:spacing w:before="20" w:after="20"/>
        <w:ind w:left="170"/>
      </w:pPr>
      <w:r>
        <w:rPr>
          <w:rFonts w:ascii="Calibri" w:hAnsi="Calibri"/>
          <w:b/>
          <w:color w:val="4A6B25"/>
          <w:sz w:val="15"/>
        </w:rPr>
        <w:t xml:space="preserve">4. </w:t>
      </w:r>
      <w:r>
        <w:rPr>
          <w:rFonts w:ascii="Calibri" w:hAnsi="Calibri"/>
          <w:b w:val="0"/>
          <w:color w:val="3A4A28"/>
          <w:sz w:val="17"/>
        </w:rPr>
        <w:t>Community Healthcare Trust SEC Filings — CEO David Dupuy Open-Market Purchase of 10,000 Shares at $15.13 (August 14, 2026); $99M Acquisition Pipeline at 9-10% Yields; Founder Timothy Wallace Passed March 2023</w:t>
      </w:r>
    </w:p>
    <w:p>
      <w:pPr>
        <w:spacing w:before="20" w:after="20"/>
        <w:ind w:left="170"/>
      </w:pPr>
      <w:r>
        <w:rPr>
          <w:rFonts w:ascii="Calibri" w:hAnsi="Calibri"/>
          <w:b/>
          <w:color w:val="4A6B25"/>
          <w:sz w:val="15"/>
        </w:rPr>
        <w:t xml:space="preserve">5. </w:t>
      </w:r>
      <w:r>
        <w:rPr>
          <w:rFonts w:ascii="Calibri" w:hAnsi="Calibri"/>
          <w:b w:val="0"/>
          <w:color w:val="3A4A28"/>
          <w:sz w:val="17"/>
        </w:rPr>
        <w:t>Community Healthcare Trust Corporate Overview — $1.2B Gross Real Estate Investments, 198 Properties, 4.52M Sq Ft, 36 States, Founded 2014, IPO 2015, Franklin TN</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