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CLBK</w:t>
      </w:r>
      <w:r>
        <w:rPr>
          <w:rFonts w:ascii="Calibri" w:hAnsi="Calibri"/>
          <w:b/>
          <w:color w:val="1A2010"/>
          <w:sz w:val="40"/>
        </w:rPr>
        <w:t xml:space="preserve">  Columbia Financial, Inc.</w:t>
      </w:r>
    </w:p>
    <w:p>
      <w:pPr>
        <w:spacing w:after="120"/>
      </w:pPr>
      <w:r>
        <w:rPr>
          <w:rFonts w:ascii="Calibri" w:hAnsi="Calibri"/>
          <w:b/>
          <w:color w:val="6E8450"/>
          <w:sz w:val="18"/>
        </w:rPr>
        <w:t>GROWTH SLEEVE · 2026-09-17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Columbia Financial, Inc. is the Fair Lawn, New Jersey-based holding company for Columbia Bank, a community bank offering consumer and commercial banking, lending, and wealth management services [1]. President and CEO Thomas J. Kemly, who joined the bank in 1981 and has led it since 2011, has driven growth through both organic expansion and acquisitions (Atlantic Stewardship Bank in 2019, Roselle Bank in 2020) alongside a build-out of digital and mobile banking capabilities [2]. The bank's net interest margin expanded to 2.44% in Q2 2026 from 2.19% a year earlier as funding costs eased, and net income for the first half of 2026 rose to $27.6 million from $21.2 million in the prior-year period [3].</w:t>
      </w:r>
    </w:p>
    <w:p>
      <w:r>
        <w:rPr>
          <w:rFonts w:ascii="Calibri" w:hAnsi="Calibri"/>
          <w:b/>
          <w:color w:val="6E8450"/>
          <w:sz w:val="18"/>
        </w:rPr>
        <w:t>749 Employees · https://www.columbiabankonline.com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Kemly, Columbia Bank has executed a steady growth strategy combining organic branch expansion with two completed acquisitions (Atlantic Stewardship Bank 2019, Roselle Bank 2020), and has recently navigated a difficult rate cycle back to expanding margins (NIM up to 2.44% in Q2 2026 from 2.19% a year prior) [2][3]. AI Deployment (0/2): No evidence of AI-driven underwriting, fraud detection, or customer-facing AI tools was identified for Columbia Bank specifically. Market Share (0/2): As a single-state community bank holding roughly $1.2 billion in market capitalization, Columbia holds a modest niche share in North/Central New Jersey banking without evidence of category leadership. Pipeline (1/2): The bank continues to invest in digital and mobile banking alongside physical branch expansion, a sensible if incremental modernization path [2]. R&amp;D Intensity (1/1): Investment in technology infrastructure to support digital banking growth is proportionate for a bank of this size, though not disclosed as a distinct R&amp;D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Columbia's 'Creed of Shared Values' commits the organization to act in the best interests of customers, coworkers, communities, and shareholders -- a clear if fairly generic community-banking mission shared by most mutual-heritage thrifts [2]. Community Impact (2/2): Columbia's Community Benefits Agreement commits $8.1 billion over five years to expand mortgage and small-business lending access in historically underserved communities, a substantial and specific commitment for a bank of this size [1]. Employee Retention (0/2): No specific turnover or tenure data was identified, though CEO Kemly's 45-year tenure at the bank suggests some organizational stability at the top. Insider Buying (0/2): No evidence of meaningful net insider purchases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and ROE not directly meaningful/available for a bank holding company in this framework, so ROE is scored at its low reported level and D/E is treated as not applicable). Columbia clears the liquidity floor comfortably with ~5.3 million average daily shares at $11.46 (~$60.8M daily turnover) [4]. Forward P/E of 18.09 and profit margin of 21.76% both already clear their respective targets, and Q1-Q2 2026 net interest income growth of 20% YoY drove revenue growth of 13.1% YoY, also above target [3][4]. The primary drags are ROE of only 5.02% (2x weight), well below the 15% target expected of a well-run bank, and a multi-year revenue CAGR that remains negative (~-4.5% over the last three fiscal years) as the bank worked through a difficult 2023-2024 rate cycle before the recent NIM recovery [3][4]. PEG ratio is not meaningfully available given inconsistent forward estimates for the name.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Columbia Financial exhibits the steady, community-anchored posture typical of a converted mutual thrift: a long-tenured CEO, a genuine (if not fully distinctive) community reinvestment commitment, and measured M&amp;A-driven growth rather than aggressive expansion. It has not made a transformative strategic pivot, and its return on equity remains well below well-run bank peers, but there is no evidence of predatory competitive behavior or governance red flags.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Columbia's community-banking mission is reinforced by a concrete $8.1 billion, five-year Community Benefits Agreement targeting underserved borrowers, giving the mission more substance than typical thrift boilerplate, though it remains focused on a single state and has not been tested through major crisis under current leadership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Kemly's 45-year tenure at the bank (including roles as CFO and COO before becoming President/CEO) and the presence of a dedicated Corporate Governance and Culture executive suggest organizational stability and continuity, though no specific turnover or engagement metrics were identified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partial): Columbia competes with larger regional and national banks primarily on local relationships and community reinvestment rather than price wars or predatory tactics, consistent with a cooperative rather than zero-sum competitive posture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bank has evolved from a mutual thrift to a fully public stock holding company via its 2018 conversion, and has grown through acquisition (Atlantic Stewardship Bank, Roselle Bank) and digital banking investment, but has made no dramatic recent business-model pivot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navigated a difficult 2023-2024 rate cycle (NIM compressed to 2.19% before recovering) without major strategic missteps, and continued to invest in digital capabilities and acquisitions through the cycle, but there is no evidence of a costly, high-conviction bet that would demonstrate distinctive courage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Columbia Financial is a recovering New Jersey community bank whose net interest margin has expanded meaningfully (2.44% in Q2 2026, up from 2.19% a year earlier) as funding costs ease, driving net income up roughly 30% in the first half of 2026 versus the prior year [3]. Trading at 18.09x forward earnings with profit margins above 21%, the stock offers modest current income (1.74% yield) alongside recovery-driven earnings growth. Positive Inspire Insight attributions across Employee Wellbeing, Ethical Supply Chain Management, and Product Access and Affordability, together with a concrete $8.1 billion Community Benefits Agreement, support the bank's community-reinvestment credentials [1].</w:t>
      </w:r>
    </w:p>
    <w:p>
      <w:pPr>
        <w:spacing w:after="120"/>
      </w:pPr>
      <w:r>
        <w:rPr>
          <w:rFonts w:ascii="Calibri" w:hAnsi="Calibri"/>
          <w:b w:val="0"/>
          <w:color w:val="3A4A28"/>
          <w:sz w:val="20"/>
        </w:rPr>
        <w:t>The bear case centers on subpar capital efficiency: return on equity of only 5.02% is well below the 15% a well-run bank should generate, and the three-year revenue trend remains negative (~-4.5% CAGR) as the bank worked through a punishing 2023-2024 deposit-cost cycle [3][4]. As a single-state, ~$1.2 billion market-cap thrift, Columbia lacks the scale advantages of larger regional banks and has no disclosed AI or digital-underwriting initiatives to defend against fintech-driven margin compression over time. The recent earnings recovery is a positive inflection, but it is not yet clear whether NIM expansion will be sustained if the rate environment shifts again, and the stock's re-rating potential is capped without a clearer path to double-digit ROE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which rose from 2.19% to 2.44% over the past year, could keep driving double-digit net income growth (+30% in H1 2026) if funding costs keep easing [3]</w:t>
      </w:r>
    </w:p>
    <w:p>
      <w:pPr>
        <w:spacing w:before="40" w:after="40"/>
        <w:ind w:left="283"/>
      </w:pPr>
      <w:r>
        <w:rPr>
          <w:rFonts w:ascii="Calibri" w:hAnsi="Calibri"/>
          <w:b/>
          <w:color w:val="4A6B25"/>
          <w:sz w:val="20"/>
        </w:rPr>
        <w:t xml:space="preserve">2. </w:t>
      </w:r>
      <w:r>
        <w:rPr>
          <w:rFonts w:ascii="Calibri" w:hAnsi="Calibri"/>
          <w:b w:val="0"/>
          <w:color w:val="3A4A28"/>
          <w:sz w:val="20"/>
        </w:rPr>
        <w:t>Further execution against the $8.1 billion Community Benefits Agreement could expand the bank's underserved-market lending footprint and reputational standing in its core New Jersey market [1]</w:t>
      </w:r>
    </w:p>
    <w:p>
      <w:pPr>
        <w:spacing w:before="40" w:after="40"/>
        <w:ind w:left="283"/>
      </w:pPr>
      <w:r>
        <w:rPr>
          <w:rFonts w:ascii="Calibri" w:hAnsi="Calibri"/>
          <w:b/>
          <w:color w:val="4A6B25"/>
          <w:sz w:val="20"/>
        </w:rPr>
        <w:t xml:space="preserve">3. </w:t>
      </w:r>
      <w:r>
        <w:rPr>
          <w:rFonts w:ascii="Calibri" w:hAnsi="Calibri"/>
          <w:b w:val="0"/>
          <w:color w:val="3A4A28"/>
          <w:sz w:val="20"/>
        </w:rPr>
        <w:t>Continued digital banking build-out under the bank's technology leadership could improve efficiency ratios and support ROE improvement toward peer levels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on equity of 5.02% remains well below the 15% level associated with well-capitalized, efficiently run banks, limiting the stock's re-rating potential until profitability improves structurally [3][4]</w:t>
      </w:r>
    </w:p>
    <w:p>
      <w:pPr>
        <w:spacing w:before="40" w:after="40"/>
        <w:ind w:left="283"/>
      </w:pPr>
      <w:r>
        <w:rPr>
          <w:rFonts w:ascii="Calibri" w:hAnsi="Calibri"/>
          <w:b/>
          <w:color w:val="4A6B25"/>
          <w:sz w:val="20"/>
        </w:rPr>
        <w:t xml:space="preserve">2. </w:t>
      </w:r>
      <w:r>
        <w:rPr>
          <w:rFonts w:ascii="Calibri" w:hAnsi="Calibri"/>
          <w:b w:val="0"/>
          <w:color w:val="3A4A28"/>
          <w:sz w:val="20"/>
        </w:rPr>
        <w:t>A renewed rise in deposit funding costs or a flattening/inverting yield curve could reverse the recent NIM recovery that is driving the current earnings improvement [3]</w:t>
      </w:r>
    </w:p>
    <w:p>
      <w:pPr>
        <w:spacing w:before="40" w:after="40"/>
        <w:ind w:left="283"/>
      </w:pPr>
      <w:r>
        <w:rPr>
          <w:rFonts w:ascii="Calibri" w:hAnsi="Calibri"/>
          <w:b/>
          <w:color w:val="4A6B25"/>
          <w:sz w:val="20"/>
        </w:rPr>
        <w:t xml:space="preserve">3. </w:t>
      </w:r>
      <w:r>
        <w:rPr>
          <w:rFonts w:ascii="Calibri" w:hAnsi="Calibri"/>
          <w:b w:val="0"/>
          <w:color w:val="3A4A28"/>
          <w:sz w:val="20"/>
        </w:rPr>
        <w:t>As a single-state community bank with no disclosed AI or digital-underwriting investment, Columbia is exposed to long-term margin compression from digital-only banks and fintech lenders competing for retail deposits and small-business loans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Community banking retains structural protection through local deposit relationships, regulatory relationship-lending requirements, and Columbia's ongoing digital banking investment, but retail deposit-taking and basic consumer lending are increasingly commoditized by AI-driven fintech and digital-only competitors, creating moderate long-term margin pressure risk [2][3]. No evidence was found of Columbia deploying AI for underwriting, fraud detection, or customer service automation, meaning it is not yet capturing efficiency gains larger regional and money-center banks are pursuing. AI Opportunity (0/1): No AI-specific product or revenue stream was identified for Columbia Bank.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Columbia Financial, Inc. Community Benefits Agreement and Corporate Governance disclosures -- ir.columbiabankonline.com,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Columbia Bank / Columbia Financial leadership profiles -- CEO Thomas J. Kemly tenure, Atlantic Stewardship Bank and Roselle Bank acquisitions, digital banking strategy -- Bloomberg, GlobeNewswire, Simply Wall St,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Columbia Financial, Inc. Q1 and Q2 2026 Financial Results -- net interest margin, net income, EPS -- GlobeNewswire, StockTitan, Nasdaq, February-July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CLBK key statistics: price $11.46, forward P/E 18.09, ROE 5.02%, profit margin 21.76%, average volume ~5,302,516,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