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CLF</w:t>
      </w:r>
      <w:r>
        <w:rPr>
          <w:rFonts w:ascii="Calibri" w:hAnsi="Calibri"/>
          <w:b/>
          <w:color w:val="1A2010"/>
          <w:sz w:val="40"/>
        </w:rPr>
        <w:t xml:space="preserve">  Cleveland-Cliffs Inc.</w:t>
      </w:r>
    </w:p>
    <w:p>
      <w:pPr>
        <w:spacing w:after="120"/>
      </w:pPr>
      <w:r>
        <w:rPr>
          <w:rFonts w:ascii="Calibri" w:hAnsi="Calibri"/>
          <w:b/>
          <w:color w:val="6E8450"/>
          <w:sz w:val="18"/>
        </w:rPr>
        <w:t>GROWTH SLEEVE · 2026-08-13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Steel · NYSE · United States</w:t>
      </w:r>
    </w:p>
    <w:p>
      <w:pPr>
        <w:spacing w:after="80"/>
      </w:pPr>
      <w:r>
        <w:rPr>
          <w:rFonts w:ascii="Calibri" w:hAnsi="Calibri"/>
          <w:b w:val="0"/>
          <w:color w:val="3A4A28"/>
          <w:sz w:val="20"/>
        </w:rPr>
        <w:t>Cleveland-Cliffs is the largest flat-rolled steel producer in North America, operating an integrated portfolio spanning iron ore mining, direct reduced iron (DRI), steelmaking via blast furnaces and electric arc furnaces, and downstream finishing operations. Transformed from a pure-play iron ore miner into a vertically integrated steelmaker through acquisitions of AK Steel (2020), ArcelorMittal USA (2020), and Stelco (2024). Serves automotive, infrastructure, appliance, and construction end markets. Q2 2026 revenue reached $5.23B (+6% YoY) with adjusted EBITDA of $286M, though net loss was $(145)M. LTM revenue approximately $19.2B.</w:t>
      </w:r>
    </w:p>
    <w:p>
      <w:r>
        <w:rPr>
          <w:rFonts w:ascii="Calibri" w:hAnsi="Calibri"/>
          <w:b/>
          <w:color w:val="6E8450"/>
          <w:sz w:val="18"/>
        </w:rPr>
        <w:t>27,000 Employees · https://www.clevelandcliffs.com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Cleveland-Cliffs executed a transformative business model pivot from iron ore miner to vertically integrated steelmaker via three major acquisitions — AK Steel and ArcelorMittal USA in 2020, followed by Stelco in 2024 — becoming the largest flat-rolled steel producer in North America [1]. However, the transformation has not yet translated to sustained profitability, with six consecutive quarters of net losses limiting this to a single point for an incomplete transformation. AI Deployment (1/2): CLF announced a multi-year partnership with Palantir Technologies in April 2026 to deploy AI-driven solutions across production planning, order entry, and operational workflows [2]. CEO Goncalves called Palantir's platform 'nothing short of a gamechanger,' but no quantifiable savings or revenue impact has been reported yet — the deployment is in early stages. Market Share (2/2): CLF is the undisputed leader in North American flat-rolled steel production, holding the #1 position by volume after consolidating AK Steel, ArcelorMittal USA, and Stelco into a single integrated platform with approximately 26 million tons of annual raw steel capacity [1]. Product Pipeline (0/2): No next-generation products with specific launch dates or revenue visibility have been announced; the focus is on operational efficiency and decarbonization rather than new product innovation. R&amp;D Intensity (0/1): Steel manufacturing is not an R&amp;D-intensive industry, and CLF's R&amp;D spending as a percentage of revenue is minimal, well below sectors where R&amp;D drives competitive advantage.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Cleveland-Cliffs positions itself around American steelmaking and domestic supply chain resilience, but the articulated purpose is generic and interchangeable with any vertically integrated manufacturer — the company's stated values of 'Trust, Respect and Open Communication' are standard corporate boilerplate that do not differentiate from peers or articulate a deeper purpose [2]. Community Impact (1/2): CLF donated approximately $7.5 million to local communities in 2023 through its Foundation, with employee matching programs contributing an additional $550K [3]. This represents general corporate philanthropy — meaningful in dollar terms but not a distinctive program aligned with a transformative purpose. Employee Retention (0/2): Glassdoor reviews describe a 'fear based culture' under CEO Goncalves, with employees citing a 'tyrannical CEO,' limited advancement opportunities, strict 5-day on-site mandates with no work-from-home flexibility, and middle management lacking authority [2]. This suggests a low-trust, high-turnover environment inconsistent with mission-driven retention. Insider Buying (0/2): No evidence of meaningful net insider buying by CEO or executives was identified in the last 12 months; CFO Celso Goncalves Jr. sold $2.9M in shares in June 2026.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PEG excluded due to negative/meaningless value). D/E of 126% scores 0.76 — above the 70% target but well within the 300% floor, reflecting heavy acquisition-related debt [4]. Revenue growth YoY of 4% (LTM) is below the 10% target but positive, scoring 0.80. Forward P/E of 29.67x is elevated for a cyclical steel company but below the 60 floor, scoring 0.76. However, negative ROE of -21.58% (2x weight) and negative profit margin of -4.56% both score 0, reflecting ongoing unprofitability despite $19.2B revenue scale [4]. The 5-year revenue CAGR of approximately -1% scores 0.27 (2x weight) as the post-acquisition revenue base has failed to grow. Weighted sum: 2.85 / 8.0 = 0.356 x 10 = 4. The stock easily clears the liquidity floor with approximately $233M in daily trading volume ($11.10 x 21M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Cleveland-Cliffs under Lourenco Goncalves operates as a quintessential finite game player — the strategic focus is on market dominance through aggressive acquisition, combative competitive positioning, and quarterly steel pricing optimization rather than building an enduring institution. Goncalves' confrontational public persona, fear-based management culture reported by employees, and acquisition-driven growth strategy prioritize winning the steel consolidation game over creating lasting organizational capability. The company has shown existential flexibility in transforming from mining to steelmaking, but this pivot was driven by competitive necessity rather than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CLF positions itself around 'American steelmaking' and domestic supply chain resilience, which has genuine resonance in the context of trade policy and national security [1]. However, this framing functions more as a lobbying narrative and tariff advocacy tool than an authentic Just Cause that shapes strategic decisions beyond self-interest. The company's competitive language centers on being the 'biggest' and 'most dominant' rather than advancing a vision of a better future. Leadership references to purpose are situational — invoked when advocating for tariffs or defending acquisitions — rather than a consistent guiding framework.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consistently describe a low-trust environment under Goncalves' leadership. Glassdoor feedback cites a 'fear based culture,' a 'tyrannical CEO,' limited autonomy for middle management, and strict 5-day office mandates that signal distrust of employees [2]. Goncalves is known for confrontational earnings calls and combative rhetoric — reflecting a top-down command-and-control culture antithetical to Sinek's Circle of Safety. This is an organization where employees protect themselves rather than take risks in service of a shared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Goncalves' competitive language is overtly finite — he is known for combative public statements about competitors (Nucor, U.S. Steel), confrontational earnings calls, and framing competition as a war to be won through consolidation and tariff protection rather than self-improvement [2]. The failed U.S. Steel bid and ongoing combative rhetoric toward Nippon Steel reflect a mindset of competitive destruction rather than learning from rivals' strengths. This is a textbook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CLF executed a meaningful strategic transformation from a pure-play iron ore mining company into a vertically integrated steelmaker, fundamentally redefining its business model through the AK Steel and ArcelorMittal USA acquisitions in 2020 and Stelco in 2024 [1]. This was a genuine business model pivot — the company changed what it does, not just how it does it. However, the pivot was driven by competitive necessity (declining iron ore margins, customer concentration risk) rather than a Just Cause, and the transformation has not yet delivered consistent profitability.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Goncalves demonstrated conviction by executing the Stelco acquisition in 2024 during a period of steel price weakness, betting on long-term consolidation benefits despite near-term earnings dilution [1]. The broader acquisition strategy — taking on significant debt to transform CLF from a $2B iron ore miner to a $19B+ steelmaker — required bold capital allocation during uncertain periods. However, these decisions served the finite goal of market dominance rather than a Just Cause, and the ongoing unprofitability raises questions about whether the courage was strategically sound.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Cleveland-Cliffs at $11.10 offers optionality on a steel cycle recovery and structural improvement in North American steel pricing. Q2 2026 adjusted EBITDA of $286M improved significantly from depressed 2025 levels, and management guides Q3 EBITDA to approximately $575M — more than doubling sequentially — as HRC prices recovered above $800/ton [1]. The Stelco acquisition adds low-cost Canadian capacity and iron ore self-sufficiency, while tariff protection under current trade policy provides a floor for domestic steel prices. CLF's vertically integrated model (iron ore to DRI to steel to finishing) gives it cost advantages that pure-play EAF competitors lack when scrap prices are elevated. The Palantir AI partnership could drive operational efficiencies across 27 facilities, and the stock trades at a compelling 0.3x LTM sales [2].</w:t>
      </w:r>
    </w:p>
    <w:p>
      <w:pPr>
        <w:spacing w:after="120"/>
      </w:pPr>
      <w:r>
        <w:rPr>
          <w:rFonts w:ascii="Calibri" w:hAnsi="Calibri"/>
          <w:b w:val="0"/>
          <w:color w:val="3A4A28"/>
          <w:sz w:val="20"/>
        </w:rPr>
        <w:t>The bear case is significant: CLF has posted net losses for six consecutive quarters despite being the largest flat-rolled steel producer in North America, with negative ROE of -21.58% and profit margin of -4.56% indicating the acquisition-driven growth strategy has not yet delivered scale economies [4]. D/E of 126% reflects the leveraged balance sheet built through three major acquisitions, and interest expense consumes a material portion of operating cash flow. Forward P/E of 29.67x on negative current earnings requires a profitability recovery that remains unproven. CEO Goncalves' confrontational leadership style creates governance risk — the 'fear based culture' described by employees limits organizational adaptability, and key-man risk is elevated given his dominant role in strategy and external relations [2]. Steel remains a deeply cyclical commodity business with limited pricing power, and the 5-year revenue CAGR of -1% demonstrates that scale has not translated to growth. CFO insider selling of shares further undermines confidence in near-term outlook.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adjusted EBITDA guidance of ~$575M represents more than a doubling from Q2, driven by HRC price recovery above $800/ton and Stelco integration synergies beginning to flow through operations [1]</w:t>
      </w:r>
    </w:p>
    <w:p>
      <w:pPr>
        <w:spacing w:before="40" w:after="40"/>
        <w:ind w:left="283"/>
      </w:pPr>
      <w:r>
        <w:rPr>
          <w:rFonts w:ascii="Calibri" w:hAnsi="Calibri"/>
          <w:b/>
          <w:color w:val="4A6B25"/>
          <w:sz w:val="20"/>
        </w:rPr>
        <w:t xml:space="preserve">2. </w:t>
      </w:r>
      <w:r>
        <w:rPr>
          <w:rFonts w:ascii="Calibri" w:hAnsi="Calibri"/>
          <w:b w:val="0"/>
          <w:color w:val="3A4A28"/>
          <w:sz w:val="20"/>
        </w:rPr>
        <w:t>Palantir AI platform deployment across production planning and order entry could unlock quantifiable operational efficiencies across CLF's 27 facilities, with initial results expected by late 2026 [2]</w:t>
      </w:r>
    </w:p>
    <w:p>
      <w:pPr>
        <w:spacing w:before="40" w:after="40"/>
        <w:ind w:left="283"/>
      </w:pPr>
      <w:r>
        <w:rPr>
          <w:rFonts w:ascii="Calibri" w:hAnsi="Calibri"/>
          <w:b/>
          <w:color w:val="4A6B25"/>
          <w:sz w:val="20"/>
        </w:rPr>
        <w:t xml:space="preserve">3. </w:t>
      </w:r>
      <w:r>
        <w:rPr>
          <w:rFonts w:ascii="Calibri" w:hAnsi="Calibri"/>
          <w:b w:val="0"/>
          <w:color w:val="3A4A28"/>
          <w:sz w:val="20"/>
        </w:rPr>
        <w:t>Sustained Section 232 tariff protection and potential expansion of trade enforcement under current U.S. administration provides a structural floor for domestic steel pricing and protects CLF's cost structure against lower-priced imports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Six consecutive quarters of net losses with -21.58% ROE and -4.56% profit margin demonstrate that the largest flat-rolled steel producer in North America cannot generate consistent profits at current steel prices, raising questions about the viability of the acquisition-driven growth strategy [4]</w:t>
      </w:r>
    </w:p>
    <w:p>
      <w:pPr>
        <w:spacing w:before="40" w:after="40"/>
        <w:ind w:left="283"/>
      </w:pPr>
      <w:r>
        <w:rPr>
          <w:rFonts w:ascii="Calibri" w:hAnsi="Calibri"/>
          <w:b/>
          <w:color w:val="4A6B25"/>
          <w:sz w:val="20"/>
        </w:rPr>
        <w:t xml:space="preserve">2. </w:t>
      </w:r>
      <w:r>
        <w:rPr>
          <w:rFonts w:ascii="Calibri" w:hAnsi="Calibri"/>
          <w:b w:val="0"/>
          <w:color w:val="3A4A28"/>
          <w:sz w:val="20"/>
        </w:rPr>
        <w:t>Leveraged balance sheet with D/E of 126% built through debt-funded acquisitions (AK Steel, ArcelorMittal USA, Stelco) creates interest expense burden and limits financial flexibility if steel prices decline below $700/ton</w:t>
      </w:r>
    </w:p>
    <w:p>
      <w:pPr>
        <w:spacing w:before="40" w:after="40"/>
        <w:ind w:left="283"/>
      </w:pPr>
      <w:r>
        <w:rPr>
          <w:rFonts w:ascii="Calibri" w:hAnsi="Calibri"/>
          <w:b/>
          <w:color w:val="4A6B25"/>
          <w:sz w:val="20"/>
        </w:rPr>
        <w:t xml:space="preserve">3. </w:t>
      </w:r>
      <w:r>
        <w:rPr>
          <w:rFonts w:ascii="Calibri" w:hAnsi="Calibri"/>
          <w:b w:val="0"/>
          <w:color w:val="3A4A28"/>
          <w:sz w:val="20"/>
        </w:rPr>
        <w:t>Key-man risk concentrated in CEO Lourenco Goncalves, whose confrontational leadership style, fear-based management culture, and dominant strategic role create governance vulnerability — departure or succession planning failure could destabilize operations and customer relationships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Cleveland-Cliffs' core business — mining iron ore, producing direct reduced iron, operating blast furnaces and electric arc furnaces, and finishing steel products — is entirely physical-world, capital-intensive, and structurally immune to AI displacement [1]. Steel production requires massive physical infrastructure, high-temperature metallurgy, complex logistics, and deep regulatory compliance that AI cannot substitute. Furthermore, AI-driven demand for data center construction, power grid expansion, and infrastructure buildout directly increases steel consumption, making CLF a net beneficiary of AI proliferation. No analysts have identified AI as a displacement risk to integrated steel producers. AI Opportunity (0/1): While CLF's Palantir partnership represents AI deployment for internal operational optimization, the company does not generate revenue from AI products or services sold to customers [2]. The partnership is an internal efficiency tool,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Cleveland-Cliffs Q2 2026 10-Q Filing — Revenue $5,226M (+6% YoY), Net Loss $(145)M, EPS $(0.25), Adjusted EBITDA $286M, Q3 EBITDA guidance ~$575M, July 2026</w:t>
      </w:r>
    </w:p>
    <w:p>
      <w:pPr>
        <w:spacing w:before="20" w:after="20"/>
        <w:ind w:left="170"/>
      </w:pPr>
      <w:r>
        <w:rPr>
          <w:rFonts w:ascii="Calibri" w:hAnsi="Calibri"/>
          <w:b/>
          <w:color w:val="4A6B25"/>
          <w:sz w:val="15"/>
        </w:rPr>
        <w:t xml:space="preserve">2. </w:t>
      </w:r>
      <w:r>
        <w:rPr>
          <w:rFonts w:ascii="Calibri" w:hAnsi="Calibri"/>
          <w:b w:val="0"/>
          <w:color w:val="3A4A28"/>
          <w:sz w:val="17"/>
        </w:rPr>
        <w:t>Cleveland-Cliffs Palantir AI Partnership, Employee Culture, Leadership — Multi-year AI platform deployment April 2026, Glassdoor reviews, Bloomberg/Manufacturing Dive, 2026</w:t>
      </w:r>
    </w:p>
    <w:p>
      <w:pPr>
        <w:spacing w:before="20" w:after="20"/>
        <w:ind w:left="170"/>
      </w:pPr>
      <w:r>
        <w:rPr>
          <w:rFonts w:ascii="Calibri" w:hAnsi="Calibri"/>
          <w:b/>
          <w:color w:val="4A6B25"/>
          <w:sz w:val="15"/>
        </w:rPr>
        <w:t xml:space="preserve">3. </w:t>
      </w:r>
      <w:r>
        <w:rPr>
          <w:rFonts w:ascii="Calibri" w:hAnsi="Calibri"/>
          <w:b w:val="0"/>
          <w:color w:val="3A4A28"/>
          <w:sz w:val="17"/>
        </w:rPr>
        <w:t>Cleveland-Cliffs Sustainability Report 2023 — Scope 1&amp;2 GHG emissions 27% below global average (2030 goal achieved early), $7.5M community donations, published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CLF Key Statistics: Forward P/E 29.67x, ROE -21.58%, D/E 126%, Profit Margin -4.56%, Stock Price $11.10, Avg Volume 21M,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