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COMP</w:t>
      </w:r>
      <w:r>
        <w:rPr>
          <w:rFonts w:ascii="Calibri" w:hAnsi="Calibri"/>
          <w:b/>
          <w:color w:val="1A2010"/>
          <w:sz w:val="40"/>
        </w:rPr>
        <w:t xml:space="preserve">  Compass, Inc.</w:t>
      </w:r>
    </w:p>
    <w:p>
      <w:pPr>
        <w:spacing w:after="120"/>
      </w:pPr>
      <w:r>
        <w:rPr>
          <w:rFonts w:ascii="Calibri" w:hAnsi="Calibri"/>
          <w:b/>
          <w:color w:val="6E8450"/>
          <w:sz w:val="18"/>
        </w:rPr>
        <w:t>GROWTH SLEEVE · 2026-08-16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United States</w:t>
      </w:r>
    </w:p>
    <w:p>
      <w:pPr>
        <w:spacing w:after="80"/>
      </w:pPr>
      <w:r>
        <w:rPr>
          <w:rFonts w:ascii="Calibri" w:hAnsi="Calibri"/>
          <w:b w:val="0"/>
          <w:color w:val="3A4A28"/>
          <w:sz w:val="20"/>
        </w:rPr>
        <w:t>Compass, Inc. operates an end-to-end technology platform for residential real estate brokerage in the United States. Following its January 2026 acquisition of Anywhere Real Estate, Compass became the nation's largest residential brokerage, operating brands including Compass, Century 21, Coldwell Banker, and Sotheby's International Realty across a combined agent network exceeding 200,000. Q2 2026 revenue reached a record $4.3 billion, more than double the prior-year period, as the company actioned its full $300 million first-year cost synergy target ahead of schedule.</w:t>
      </w:r>
    </w:p>
    <w:p>
      <w:r>
        <w:rPr>
          <w:rFonts w:ascii="Calibri" w:hAnsi="Calibri"/>
          <w:b/>
          <w:color w:val="6E8450"/>
          <w:sz w:val="18"/>
        </w:rPr>
        <w:t>3,200 Employees · https://www.compass.com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Compass completed the transformative $1.6 billion Anywhere Real Estate acquisition in January 2026, and the integration is already delivering results — Q2 2026 revenue hit a record $4.3 billion (pro forma organic growth of 14.3% YoY), Adjusted EBITDA nearly tripled to $363 million from $125 million a year earlier, and the company actioned its full $300 million first-year cost synergy target ahead of schedule [1][2]. Agent count grew from roughly 40,000 to over 200,000. AI Deployment (1/2): Compass AI 2.0 is an agentic, voice-activated platform that automates email drafting, follow-ups, and workflow tasks for agents, backed by $100M+ in annual technology investment, but no specific revenue or cost-saving figures tied directly to the AI platform have been publicly quantified [3]. Market Share (2/2): Compass is the #1 U.S. residential brokerage by transaction volume, and the Anywhere deal cemented dominant share in luxury markets via Sotheby's International Realty and Coldwell Banker [1][2]. Product Pipeline (1/2): The next evolution of Compass AI, franchise expansion, and integrated title/escrow services (title and escrow transactions up 441% YoY, +7.6% pro forma) provide visible growth vectors, though specific dated launches beyond current features are not disclosed [2][3]. R&amp;D Intensity (0/1): Technology spending of roughly $100M against $7B+ TTM revenue (~1.4%) is below what pure technology companies invest, even if elevated for a brokerage.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Compass's mission to help everyone find their place in the world is clear and connects the business to a human need, but it is generic — most real estate companies articulate similar purpose around homeownership and belonging [4]. Community Impact (0/2): No evidence of a significant charitable foundation or distinctive community investment program beyond standard corporate philanthropy. Employee Retention (0/2): Post-merger integration across nine brands and four business lines continues to create organizational strain, and the ongoing New York Attorney General antitrust inquiry has kept cultural and reputational uncertainty elevated through mid-2026 with no published retention data to counter it [5]. Insider Buying (0/2): Over the trailing 12 months there were zero insider purchases and six insider sales totaling roughly $202 million, including automatic Rule 10b5-1 sales by the Ruth Reffkin Family Trust — a clear pattern of net insider liquidation with no offsetting buying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Compass's Q2 2026 revenue of $4.3 billion (vs. $2.06 billion a year earlier) reflects the Anywhere consolidation, and full-year 2025 revenue of $6.96 billion grew 23.67% YoY [1][7]. Profitability remains thin — ROE of 3.63% and profit margin of just 0.64% score poorly against the 15%/20% targets — while D/E of 138% is manageable but above the 70% target. Revenue growth (both YoY and 5yr CAGR) comfortably clears the 10% target given the M&amp;A-driven scale-up and prior organic trend of ~13-14%. The dominant drag is Forward P/E of 157.06x, wildly above the 60x floor, reflecting a market pricing in years of future synergy realization rather than current earnings — this single metric collapses the score despite strong top-line and liquidity. The stock easily clears the liquidity floor with ~$147M in daily dollar volume (11.3M shares x $13.02).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Compass under Robert Reffkin continues to play a predominantly finite game — strategy centers on market share consolidation through the completed Anywhere acquisition, commission-structure battles with incumbents (NAR, MLSs), and now defending that consolidated position against a New York Attorney General antitrust inquiry opened in June 2026. Reffkin's personal conviction and the firm's culture story ('values are who you fire') add some authenticity, but the dominant strategic and competitive language remains oriented toward winning market share rather than advancing an enduring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Compass's cause of 'helping everyone find their place in the world' exists but reads as marketing, interchangeable with most real estate peers' mission language [4]. Reffkin's personal story adds some authenticity, but the company's dominant strategic moves in 2026 — the Anywhere acquisition, commission-structure fights, and defending market share against an active antitrust probe — are driven by competitive positioning rather than a larger service-oriented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Integrating nine brands and four business lines under one platform continues to strain organizational cohesion, and the New York Attorney General's antitrust inquiry — with investigators contacting rival NYC brokerage executives about Compass's practices — has added external scrutiny and internal uncertainty through mid-2026 [5]. With 200,000+ agents operating as independent contractors, the organizational trust model remains fundamentally transactional rather than built on deep organizational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Compass's competitive posture remains aggressively finite — Reffkin has publicly lambasted MLSs and NAR, litigated against Zillow over listing access, and pursued acquisition-led consolidation to dominate luxury markets, all while now facing antitrust scrutiny over whether that consolidation crossed into anticompetitive territory [4][5]. The language centers on winning and defending share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completed Anywhere integration represents real strategic evolution — Compass moved from a single-brand, organically-grown tech brokerage into a multi-brand franchise platform with integrated title, escrow, and relocation services, and is now realizing the associated cost synergies ahead of schedule [1][2]. The pivot was driven primarily by competitive necessity (declining organic growth, commission compression) rather than a Just Cause demanding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$1.6 billion Anywhere acquisition was a bold, transformative bet that changed Compass's business model from a single-brand tech brokerage into a nine-brand platform, and management has stood behind the deal through an active NY AG antitrust inquiry rather than retreating [1][5]. Reffkin's public confrontations with MLSs and NAR over listing rules also show a willingness to absorb reputational cost, though these decisions appear driven primarily by competitive advantage rather than mission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Compass delivered a record Q2 2026 with revenue of $4.3 billion, Adjusted EBITDA nearly tripling to $363 million, and net income of $92 million alongside $180 million of free cash flow, as the company actioned its full $300 million first-year Anywhere cost-synergy target ahead of schedule [1][2]. The combined platform is now the undisputed #1 U.S. residential brokerage with 200,000+ agents across Compass, Century 21, Coldwell Banker, and Sotheby's International Realty, and pro forma organic revenue growth of 14.3% shows the underlying business gaining share even excluding the M&amp;A step-up [1]. Title and escrow attach continues to scale (+7.6% pro forma), pointing toward a higher-margin services mix as integration matures.</w:t>
      </w:r>
    </w:p>
    <w:p>
      <w:pPr>
        <w:spacing w:after="120"/>
      </w:pPr>
      <w:r>
        <w:rPr>
          <w:rFonts w:ascii="Calibri" w:hAnsi="Calibri"/>
          <w:b w:val="0"/>
          <w:color w:val="3A4A28"/>
          <w:sz w:val="20"/>
        </w:rPr>
        <w:t>The bear case is substantial. Despite the revenue scale-up, profitability remains razor-thin — ROE of 3.63% and profit margin of 0.64% reflect a business generating almost no economic profit on $7B+ of TTM revenue, and Forward P/E of 157x prices in years of flawless synergy execution that has not yet been proven at run-rate [7]. The New York Attorney General opened an active antitrust investigation in June 2026 into whether the Anywhere consolidation harmed competition in luxury markets, with investigators contacting rival NYC brokerages — a probe that could force divestitures or operational restrictions and has already driven double-digit single-day stock declines [5]. Structural AI- and settlement-driven commission compression continues industry-wide, and CEO Reffkin's continued net insider selling ($202M over the trailing 12 months, zero purchases) offers no offsetting signal of conviction at current prices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run-rate realization of Anywhere merger synergies beyond the $300M first-year target, pushing Adjusted EBITDA margins higher and narrowing the gap between reported and adjusted profitability</w:t>
      </w:r>
    </w:p>
    <w:p>
      <w:pPr>
        <w:spacing w:before="40" w:after="40"/>
        <w:ind w:left="283"/>
      </w:pPr>
      <w:r>
        <w:rPr>
          <w:rFonts w:ascii="Calibri" w:hAnsi="Calibri"/>
          <w:b/>
          <w:color w:val="4A6B25"/>
          <w:sz w:val="20"/>
        </w:rPr>
        <w:t xml:space="preserve">2. </w:t>
      </w:r>
      <w:r>
        <w:rPr>
          <w:rFonts w:ascii="Calibri" w:hAnsi="Calibri"/>
          <w:b w:val="0"/>
          <w:color w:val="3A4A28"/>
          <w:sz w:val="20"/>
        </w:rPr>
        <w:t>Title and escrow cross-sell continuing to scale (already +7.6% pro forma in Q2 2026) as Compass drives higher-margin integrated services attach across the combined 200,000+ agent network</w:t>
      </w:r>
    </w:p>
    <w:p>
      <w:pPr>
        <w:spacing w:before="40" w:after="40"/>
        <w:ind w:left="283"/>
      </w:pPr>
      <w:r>
        <w:rPr>
          <w:rFonts w:ascii="Calibri" w:hAnsi="Calibri"/>
          <w:b/>
          <w:color w:val="4A6B25"/>
          <w:sz w:val="20"/>
        </w:rPr>
        <w:t xml:space="preserve">3. </w:t>
      </w:r>
      <w:r>
        <w:rPr>
          <w:rFonts w:ascii="Calibri" w:hAnsi="Calibri"/>
          <w:b w:val="0"/>
          <w:color w:val="3A4A28"/>
          <w:sz w:val="20"/>
        </w:rPr>
        <w:t>Favorable resolution or narrowing of the New York Attorney General antitrust inquiry, removing a regulatory overhang that has weighed on the stock since June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New York Attorney General antitrust investigation into the Anywhere acquisition's impact on luxury-market competition could result in forced divestitures, consent decrees, or prolonged legal costs that undermine the merger thesis</w:t>
      </w:r>
    </w:p>
    <w:p>
      <w:pPr>
        <w:spacing w:before="40" w:after="40"/>
        <w:ind w:left="283"/>
      </w:pPr>
      <w:r>
        <w:rPr>
          <w:rFonts w:ascii="Calibri" w:hAnsi="Calibri"/>
          <w:b/>
          <w:color w:val="4A6B25"/>
          <w:sz w:val="20"/>
        </w:rPr>
        <w:t xml:space="preserve">2. </w:t>
      </w:r>
      <w:r>
        <w:rPr>
          <w:rFonts w:ascii="Calibri" w:hAnsi="Calibri"/>
          <w:b w:val="0"/>
          <w:color w:val="3A4A28"/>
          <w:sz w:val="20"/>
        </w:rPr>
        <w:t>Structural margin compression from NAR commission-settlement dynamics and AI-driven disintermediation (Zillow, Redfin) keeps net margins near zero even as reported revenue scales, with Forward P/E of 157x leaving no room for execution missteps</w:t>
      </w:r>
    </w:p>
    <w:p>
      <w:pPr>
        <w:spacing w:before="40" w:after="40"/>
        <w:ind w:left="283"/>
      </w:pPr>
      <w:r>
        <w:rPr>
          <w:rFonts w:ascii="Calibri" w:hAnsi="Calibri"/>
          <w:b/>
          <w:color w:val="4A6B25"/>
          <w:sz w:val="20"/>
        </w:rPr>
        <w:t xml:space="preserve">3. </w:t>
      </w:r>
      <w:r>
        <w:rPr>
          <w:rFonts w:ascii="Calibri" w:hAnsi="Calibri"/>
          <w:b w:val="0"/>
          <w:color w:val="3A4A28"/>
          <w:sz w:val="20"/>
        </w:rPr>
        <w:t>Continued net insider selling by CEO Reffkin (six sales, zero purchases, ~$202M over 12 months) removes a potential conviction signal just as the company asks the market to underwrite a multi-year integration and synergy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Residential real estate brokerage faces real AI disruption risk — Zillow, Redfin, and AI-driven valuation/search tools are automating property discovery, market analysis, and document preparation tasks that traditionally justified agent commissions, and the post-NAR-settlement commission environment compounds structural pressure on the core revenue model [1][3]. Compass's role as a multi-brand platform provider (rather than a single point of failure) and the continued need for human judgment in complex negotiation, financing, and closing provide partial protection, but analysts have not signaled that Compass has a defensive moat comparable to regulated or physical-infrastructure businesses. AI Opportunity (1/1): Compass AI 2.0 is shipping to agents with voice-activated automation for emails, follow-ups, and workflow management, and the company is investing $100M+ annually in the platform, generating a measurable productivity differentiator versus traditional brokerages even without disclosed dollar savings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Compass, Inc. Reports Record Second Quarter 2026 Results — Press Release / 8-K, August 2026</w:t>
      </w:r>
    </w:p>
    <w:p>
      <w:pPr>
        <w:spacing w:before="20" w:after="20"/>
        <w:ind w:left="170"/>
      </w:pPr>
      <w:r>
        <w:rPr>
          <w:rFonts w:ascii="Calibri" w:hAnsi="Calibri"/>
          <w:b/>
          <w:color w:val="4A6B25"/>
          <w:sz w:val="15"/>
        </w:rPr>
        <w:t xml:space="preserve">2. </w:t>
      </w:r>
      <w:r>
        <w:rPr>
          <w:rFonts w:ascii="Calibri" w:hAnsi="Calibri"/>
          <w:b w:val="0"/>
          <w:color w:val="3A4A28"/>
          <w:sz w:val="17"/>
        </w:rPr>
        <w:t>HousingWire / Inman / The Real Deal — Compass Q2 2026 revenue doubles after Anywhere acquisition, cost synergies actioned ahead of schedule, August 2026</w:t>
      </w:r>
    </w:p>
    <w:p>
      <w:pPr>
        <w:spacing w:before="20" w:after="20"/>
        <w:ind w:left="170"/>
      </w:pPr>
      <w:r>
        <w:rPr>
          <w:rFonts w:ascii="Calibri" w:hAnsi="Calibri"/>
          <w:b/>
          <w:color w:val="4A6B25"/>
          <w:sz w:val="15"/>
        </w:rPr>
        <w:t xml:space="preserve">3. </w:t>
      </w:r>
      <w:r>
        <w:rPr>
          <w:rFonts w:ascii="Calibri" w:hAnsi="Calibri"/>
          <w:b w:val="0"/>
          <w:color w:val="3A4A28"/>
          <w:sz w:val="17"/>
        </w:rPr>
        <w:t>Compass Newsroom — 'On A Mission to Transform How Agents Work: Compass AI 2.0'; RealEstateWebmasters — Robert Reffkin AI leadership profile, 2026</w:t>
      </w:r>
    </w:p>
    <w:p>
      <w:pPr>
        <w:spacing w:before="20" w:after="20"/>
        <w:ind w:left="170"/>
      </w:pPr>
      <w:r>
        <w:rPr>
          <w:rFonts w:ascii="Calibri" w:hAnsi="Calibri"/>
          <w:b/>
          <w:color w:val="4A6B25"/>
          <w:sz w:val="15"/>
        </w:rPr>
        <w:t xml:space="preserve">4. </w:t>
      </w:r>
      <w:r>
        <w:rPr>
          <w:rFonts w:ascii="Calibri" w:hAnsi="Calibri"/>
          <w:b w:val="0"/>
          <w:color w:val="3A4A28"/>
          <w:sz w:val="17"/>
        </w:rPr>
        <w:t>Compass Corporate Website — Mission and Leadership Team</w:t>
      </w:r>
    </w:p>
    <w:p>
      <w:pPr>
        <w:spacing w:before="20" w:after="20"/>
        <w:ind w:left="170"/>
      </w:pPr>
      <w:r>
        <w:rPr>
          <w:rFonts w:ascii="Calibri" w:hAnsi="Calibri"/>
          <w:b/>
          <w:color w:val="4A6B25"/>
          <w:sz w:val="15"/>
        </w:rPr>
        <w:t xml:space="preserve">5. </w:t>
      </w:r>
      <w:r>
        <w:rPr>
          <w:rFonts w:ascii="Calibri" w:hAnsi="Calibri"/>
          <w:b w:val="0"/>
          <w:color w:val="3A4A28"/>
          <w:sz w:val="17"/>
        </w:rPr>
        <w:t>The Real Deal / Inman / RISMedia / Propmodo — New York Attorney General Letitia James Opens Antitrust Inquiry Into Compass, June 2026</w:t>
      </w:r>
    </w:p>
    <w:p>
      <w:pPr>
        <w:spacing w:before="20" w:after="20"/>
        <w:ind w:left="170"/>
      </w:pPr>
      <w:r>
        <w:rPr>
          <w:rFonts w:ascii="Calibri" w:hAnsi="Calibri"/>
          <w:b/>
          <w:color w:val="4A6B25"/>
          <w:sz w:val="15"/>
        </w:rPr>
        <w:t xml:space="preserve">6. </w:t>
      </w:r>
      <w:r>
        <w:rPr>
          <w:rFonts w:ascii="Calibri" w:hAnsi="Calibri"/>
          <w:b w:val="0"/>
          <w:color w:val="3A4A28"/>
          <w:sz w:val="17"/>
        </w:rPr>
        <w:t>GuruFocus — Robert L. Reffkin Net Worth and Insider Trading Activity; StockTitan Form 4 filings,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 COMP Key Statistics and Financial Ratios,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