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COR</w:t>
      </w:r>
      <w:r>
        <w:rPr>
          <w:rFonts w:ascii="Calibri" w:hAnsi="Calibri"/>
          <w:b/>
          <w:color w:val="1A2010"/>
          <w:sz w:val="40"/>
        </w:rPr>
        <w:t xml:space="preserve">  Cencora, Inc.</w:t>
      </w:r>
    </w:p>
    <w:p>
      <w:pPr>
        <w:spacing w:after="120"/>
      </w:pPr>
      <w:r>
        <w:rPr>
          <w:rFonts w:ascii="Calibri" w:hAnsi="Calibri"/>
          <w:b/>
          <w:color w:val="6E8450"/>
          <w:sz w:val="18"/>
        </w:rPr>
        <w:t>GROWTH SLEEVE · 2026-08-04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Distribution · NYSE · United States</w:t>
      </w:r>
    </w:p>
    <w:p>
      <w:pPr>
        <w:spacing w:after="80"/>
      </w:pPr>
      <w:r>
        <w:rPr>
          <w:rFonts w:ascii="Calibri" w:hAnsi="Calibri"/>
          <w:b w:val="0"/>
          <w:color w:val="3A4A28"/>
          <w:sz w:val="20"/>
        </w:rPr>
        <w:t>Cencora, Inc. (formerly AmerisourceBergen) is one of the 'Big Three' pharmaceutical distributors in the United States, sourcing and distributing branded and generic pharmaceuticals, specialty biologics, and related healthcare products to hospitals, pharmacies, and healthcare providers. The company also operates internationally through Alliance Healthcare. Rebranded as Cencora in 2023, headquartered in Conshohocken, Pennsylvania.</w:t>
      </w:r>
    </w:p>
    <w:p>
      <w:r>
        <w:rPr>
          <w:rFonts w:ascii="Calibri" w:hAnsi="Calibri"/>
          <w:b/>
          <w:color w:val="6E8450"/>
          <w:sz w:val="18"/>
        </w:rPr>
        <w:t>46,000 Employees · https://www.cencora.com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Cencora executed two significant strategic moves: the corporate rebrand from AmerisourceBergen to Cencora in 2023, and the acquisition of OneOncology in 2025 to expand into integrated specialty pharmacy and oncology practice management, opening a new revenue stream in the highest-growth pharmaceutical segment [1][3]. AI Deployment (1/2): Cencora appointed Pawan Verma as EVP &amp; Chief Data and Information Officer in November 2024 and deployed an AI voice agent for insurance verification that sped up call handling by 4x, freeing staff for complex cases — a shipped AI product with quantified efficiency gains [3]. Market Share (2/2): Cencora is one of three companies controlling approximately 90% of US pharmaceutical distribution, with roughly 30% market share and $321B in annual revenue — oligopolistic category position with massive scale advantages [1]. Product Pipeline (1/2): Raised FY2026 adjusted EPS guidance to $17.65-$17.90 following OneOncology integration; International Healthcare Solutions growing 13% YoY, but no transformative next-generation products with specific launch timelines [1]. R&amp;D Intensity (0/1): Pharmaceutical distribution is a logistics and capital-efficiency business, not an R&amp;D business; innovation spending is negligible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Cencora's purpose is 'united in our responsibility to create healthier futures' — a clear statement connecting the company's work to healthcare outcomes, but not distinctive enough to differentiate from any pharmaceutical company and somewhat contradicted by the $6.4B opioid settlement [3][4]. Community Impact (0/2): The company's ESG framework includes opioid epidemic combating programs and reporting alignment with IOPA standards, but these are remedial responses to past failures rather than proactive community investment [4]. No specific charitable foundation or community programs with dollar amounts identified. Employee Retention (0/2): Glassdoor rating of 3.6/5 from 3,627 reviews with only 63% recommending the company; reviews cite 'poor management with outdated principles' and 'unethical senior leadership' as concerns, undermining the mission narrative [3]. Insider Buying (0/2): No evidence of meaningful net insider buying by CEO Robert Mauch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of $328.7B TTM with 5.95% YoY growth and 11.1% 5-year CAGR reflect the steady expansion of pharmaceutical distribution volumes [1][2]. ROE of 107.1% is extremely high but driven by a thin equity base from aggressive buybacks — a financial engineering effect rather than operational efficiency. D/E of 421% is well above the 300% floor (scoring 0 on this metric), reflecting the leveraged capital structure typical of pharmaceutical distributors [2]. Profit margin of 0.78% is razor-thin — normal for this industry where Cencora earns pennies on $321B of throughput — but penalized mechanically. Forward P/E of 16.56 and PEG of 1.64 are reasonable, and raised FY2026 EPS guidance of $17.65-$17.90 shows earnings visibility [1]. FCF of $1.56B provides significant cash generation despite low margins. Liquidity floor passes easily: 1.3M avg volume x $308.37 = $399M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Cencora operates with a primarily finite mindset. The company's $6.4B opioid settlement reveals that profit maximization historically overrode its healthcare mission, and the rebrand from AmerisourceBergen to Cencora reads more as reputation management than purpose renewal. Current leadership is competent and strategically sound, but the company's orientation is toward quarterly EPS growth and market share defense rather than a transcendent vision of healthcare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Cencora's stated purpose of creating 'healthier futures' is contradicted by the $6.4B opioid settlement, which revealed that the company's distribution practices contributed to the opioid epidemic affecting millions of Americans [4]. While current leadership has implemented compliance reforms and opioid monitoring programs, the cause has not been validated by consistent execution — the gap between stated purpose and historical behavior is Sinek's definition of a shallow cause. The rebrand from AmerisourceBergen to Cencora in 2023 may represent a fresh start but cannot erase institutional memory.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3.6/5 from 3,627 reviews with 63% recommending the company indicates adequate but not exceptional organizational trust [3]. Some reviews describe positive team dynamics and leadership accessibility, but others cite 'poor management with outdated principles' and 'unethical senior leadership.' With 46,000 employees across global operations, trust levels likely vary significantly by location and team. The CEO transition from Collis to Mauch appears orderly.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Cencora, McKesson, and Cardinal Health operate in a stable oligopoly where competitive language is minimal — the focus is on maintaining market position and managing supplier relationships rather than learning from rivals [1]. The competitive dynamic is more about avoiding disruption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Cencora has expanded beyond pure drug distribution through the OneOncology acquisition (entering integrated oncology practice management), international expansion via Alliance Healthcare, and the emerging specialty pharmacy strategy [1]. The rebrand to Cencora represents an identity evolution. However, the core business model of wholesale pharmaceutical distribution has remained fundamentally unchanged for decades — these are adjacency moves,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OneOncology acquisition required significant capital deployment to enter specialty oncology. The decision to rebrand from a well-known name (AmerisourceBergen) to Cencora took organizational courage. However, the $6.4B opioid settlement reflects a historical failure of leadership courage — prioritizing distribution volumes over patient safety is the opposite of Sinek's framework [4]. Current leadership is making strategically sound but not particularly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Cencora is one of three companies controlling ~90% of US pharmaceutical distribution, generating $321B+ in annual revenue with steady 11.1% 5-year CAGR and $1.56B in free cash flow [1][2]. Q2 FY2026 delivered adjusted EPS of $4.75 (up 7.5% YoY), and management raised full-year guidance to $17.65-$17.90 adjusted EPS, reflecting the OneOncology acquisition's contribution and International Healthcare Solutions growing at 13% [1]. The oligopolistic market structure creates durable competitive advantages — switching costs are enormous, regulatory barriers protect incumbents, and scale economics improve with volume. At a forward P/E of 16.56 and PEG of 1.64, COR is reasonably valued for a defensive healthcare compounder with 21 consecutive years of dividend growth.</w:t>
      </w:r>
    </w:p>
    <w:p>
      <w:pPr>
        <w:spacing w:after="120"/>
      </w:pPr>
      <w:r>
        <w:rPr>
          <w:rFonts w:ascii="Calibri" w:hAnsi="Calibri"/>
          <w:b w:val="0"/>
          <w:color w:val="3A4A28"/>
          <w:sz w:val="20"/>
        </w:rPr>
        <w:t>The bear case centers on structural margin limitations, leverage, and reputational overhang. Profit margin of 0.78% reflects the commodity nature of drug distribution — even at $321B in revenue, net income is only $2.5B [2]. D/E of 421% represents extreme leverage from buybacks and acquisitions, creating vulnerability if credit conditions tighten or drug pricing reform compresses volumes. The $6.4B opioid settlement (paid over 18 years) is an ongoing cash drain and reputational liability, and additional opioid-related lawsuits from West Virginia subdivisions and Native American tribes extend legal exposure [4]. Revenue growth decelerated to 3.8% in Q2 FY2026 from 9.3% annual pace, raising questions about whether GLP-1 and specialty drug tailwinds are peaking. Glassdoor reviews citing 'unethical senior leadership' suggest cultural issues that could limit talent attraction and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OneOncology integration driving specialty pharmacy revenue expansion — the highest-growth segment in pharmaceutical distribution, with specialty drugs now representing the majority of drug spending [1]</w:t>
      </w:r>
    </w:p>
    <w:p>
      <w:pPr>
        <w:spacing w:before="40" w:after="40"/>
        <w:ind w:left="283"/>
      </w:pPr>
      <w:r>
        <w:rPr>
          <w:rFonts w:ascii="Calibri" w:hAnsi="Calibri"/>
          <w:b/>
          <w:color w:val="4A6B25"/>
          <w:sz w:val="20"/>
        </w:rPr>
        <w:t xml:space="preserve">2. </w:t>
      </w:r>
      <w:r>
        <w:rPr>
          <w:rFonts w:ascii="Calibri" w:hAnsi="Calibri"/>
          <w:b w:val="0"/>
          <w:color w:val="3A4A28"/>
          <w:sz w:val="20"/>
        </w:rPr>
        <w:t>Raised FY2026 adjusted EPS guidance to $17.65-$17.90 with International Healthcare Solutions growing 13% YoY, demonstrating geographic diversification beyond the US market [1]</w:t>
      </w:r>
    </w:p>
    <w:p>
      <w:pPr>
        <w:spacing w:before="40" w:after="40"/>
        <w:ind w:left="283"/>
      </w:pPr>
      <w:r>
        <w:rPr>
          <w:rFonts w:ascii="Calibri" w:hAnsi="Calibri"/>
          <w:b/>
          <w:color w:val="4A6B25"/>
          <w:sz w:val="20"/>
        </w:rPr>
        <w:t xml:space="preserve">3. </w:t>
      </w:r>
      <w:r>
        <w:rPr>
          <w:rFonts w:ascii="Calibri" w:hAnsi="Calibri"/>
          <w:b w:val="0"/>
          <w:color w:val="3A4A28"/>
          <w:sz w:val="20"/>
        </w:rPr>
        <w:t>AI-driven supply chain analytics and drug traceability initiatives under new Chief Data and Information Officer, potentially improving margins in a business where basis-point improvements translate to hundreds of millions in profit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Razor-thin profit margin of 0.78% leaves no buffer for operational disruption, drug pricing reform, or rebate structure changes — even small margin compression could materially impact earnings [2]</w:t>
      </w:r>
    </w:p>
    <w:p>
      <w:pPr>
        <w:spacing w:before="40" w:after="40"/>
        <w:ind w:left="283"/>
      </w:pPr>
      <w:r>
        <w:rPr>
          <w:rFonts w:ascii="Calibri" w:hAnsi="Calibri"/>
          <w:b/>
          <w:color w:val="4A6B25"/>
          <w:sz w:val="20"/>
        </w:rPr>
        <w:t xml:space="preserve">2. </w:t>
      </w:r>
      <w:r>
        <w:rPr>
          <w:rFonts w:ascii="Calibri" w:hAnsi="Calibri"/>
          <w:b w:val="0"/>
          <w:color w:val="3A4A28"/>
          <w:sz w:val="20"/>
        </w:rPr>
        <w:t>D/E of 421% and $12.9B net debt create financial vulnerability if credit conditions tighten or the company faces unexpected litigation costs beyond the $6.4B opioid settlement [2][4]</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to 3.8% in Q2 FY2026 raises questions about whether the pharmaceutical distribution cycle is maturing, particularly as GLP-1 supply normalizes and biosimilar competition increases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Cencora's core business is physical pharmaceutical distribution — operating massive warehouse networks, cold chain logistics, regulatory-compliant drug handling, and nationwide delivery infrastructure that AI cannot replicate [1]. The oligopolistic market structure (three companies control ~90% of US distribution) creates enormous switching costs and scale barriers. Drug distribution requires DEA licensing, FDA compliance, state-by-state pharmaceutical board approvals, and controlled substance tracking that cannot be AI-substituted. Some analytical and customer service functions face AI automation risk, but the physical distribution moat is structurally immune. AI Opportunity (1/1): Cencora has deployed an AI voice agent for insurance verification (4x faster call handling), appointed a Chief Data and Information Officer, and former CEO Steven Collis publicly emphasized AI as 'an incredible opportunity' for supply chain analytics and drug traceability [3]. These represent early but real AI-driven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Cencora Q2 FY2026 Earnings Release — $78.4B revenue, $4.75 adjusted EPS, raised FY2026 guidance to $17.65-$17.90, April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COR Statistics, Revenue History,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Cencora leadership, AI initiatives (Pawan Verma CDIO appointment, AI voice agent deployment), Glassdoor reviews (3.6/5, 3,627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Cencora ESG reporting — $6.4B opioid settlement, IOPA alignment, opioid epidemic combating programs, FY23-FY24 ESG reports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