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CRCL</w:t>
      </w:r>
      <w:r>
        <w:rPr>
          <w:rFonts w:ascii="Calibri" w:hAnsi="Calibri"/>
          <w:b/>
          <w:color w:val="1A2010"/>
          <w:sz w:val="40"/>
        </w:rPr>
        <w:t xml:space="preserve">  Circle Internet Group, Inc.</w:t>
      </w:r>
    </w:p>
    <w:p>
      <w:pPr>
        <w:spacing w:after="120"/>
      </w:pPr>
      <w:r>
        <w:rPr>
          <w:rFonts w:ascii="Calibri" w:hAnsi="Calibri"/>
          <w:b/>
          <w:color w:val="6E8450"/>
          <w:sz w:val="18"/>
        </w:rPr>
        <w:t>GROWTH SLEEVE · 2026-08-13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Circle Internet Group is the issuer of USDC, the second-largest stablecoin with circulation exceeding $77B (up 28% YoY), and EURC. The company operates blockchain infrastructure (Arc layer-one chain), the Circle Payments Network (CPN), and a developer platform enabling digital dollar transactions globally. IPO'd on NYSE in June 2025 at $31/share. Q1 2026 revenue reached $694M (+20% YoY) with adjusted EBITDA of $151M. Q2 2026 highlighted USDC circulation hitting new highs, CPN annualized volume reaching $23B (up 130%), and other revenue guidance raised to $310-$330M driven by $242M in Arc token presale revenue.</w:t>
      </w:r>
    </w:p>
    <w:p>
      <w:r>
        <w:rPr>
          <w:rFonts w:ascii="Calibri" w:hAnsi="Calibri"/>
          <w:b/>
          <w:color w:val="6E8450"/>
          <w:sz w:val="18"/>
        </w:rPr>
        <w:t>1,100 Employees · https://www.circle.com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Circle successfully built USDC from launch to $77B in circulation (up 28% YoY) and completed a landmark NYSE IPO in June 2025 soaring 168% on its first day [1][2]. The company expanded beyond stablecoin issuance with the Arc layer-one blockchain ($222M presale from a16z, BlackRock, Apollo at $3B FDV) and the Circle Payments Network reaching $23B annualized volume as of July 2026. However, USDC remains overwhelmingly dependent on interest income from reserves rather than diversified product innovation. AI Deployment (1/2): Circle launched AI infrastructure products in May 2026 enabling developers and AI agents to hold assets, discover services, and transact programmatically with USDC across blockchains [2]. CEO Allaire positioned blockchain as 'the only technology enabling AI agents to perform essential economic activity.' Early-stage with no quantified revenue impact yet. Market Share (1/2): USDC is the #2 stablecoin globally behind Tether's USDT (~$140B), with onchain transaction volume of $21.5T in Q1 (up 263% YoY) [1]. USDC is the dominant regulated stablecoin for institutional use but well behind USDT in total circulation. Product Pipeline (1/2): Arc blockchain mainnet launch backed by premier institutional investors, CPN volume growing 130% with specific monetization plans, and AI agent infrastructure creating new use cases — each with visible commercial traction [2]. R&amp;D Intensity (1/1): Circle invests heavily in blockchain infrastructure development, maintaining engineering teams across multiple blockchain protocols and building both the Arc chain and CPN platform simultaneously.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Circle's mission of 'raising global economic prosperity through the frictionless exchange of financial value' is specific, thoughtful, and clearly differentiates from peers — it connects blockchain and stablecoin infrastructure to the larger purpose of financial inclusion for the unbanked and underbanked globally [2]. CEO Allaire has articulated this vision consistently for 13+ years, and the regulation-first approach to stablecoin issuance reflects genuine intentionality. However, the mission has not been validated through decades of execution, and the Arc blockchain pivot raises questions about whether the cause is guiding strategic decisions or financial engineering is taking priority. Community Impact (0/2): No specific charitable programs, community investment initiatives, or measurable social impact programs were identified. Circle's community impact is indirect through enabling financial inclusion via USDC. Employee Retention (0/2): Glassdoor reviews describe dysfunctional cross-team collaboration, middle management constantly reshuffling, extended work hours, and multiple rounds of layoffs [3]. Reports that the company encouraged employees to write favorable Glassdoor reviews further undermine trust. These indicators of organizational instability preclude any positive retention score.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with PEG and 5yr CAGR excluded (recently public company, no reliable long-term comparable data). D/E of 0.45% is essentially zero debt — exceptional balance sheet with $1.5B cash against $14.8M debt (score 1.0) [4]. ROE of 15.35% (TTM) just meets the 15% target, reflecting the company's transition to GAAP profitability (score 1.0, 2x weight). Revenue growth of 20% YoY (Q1 2026) exceeds the 10% target (score 1.0). Profit margin of 15.53% is below the 20% target but positive and improving (score 0.78). The primary drag is the Forward P/E of 55.56x — near the 60x floor and scoring only 0.11 — reflecting premium valuation for a high-growth fintech that has not yet proven earnings durability [4]. Note: profitability metrics are inflated by $242M in Arc token presale revenue recognition, a non-recurring item. Weighted sum 4.89/6.0 = 8. Clears liquidity floor with approximately $880M daily trading volume ($70.37 x 12.5M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Circle under Jeremy Allaire shows meaningful infinite game characteristics — a genuine 13-year vision of transforming financial infrastructure, willingness to invest through multiple crypto winters, and a regulation-first approach to stablecoin issuance that sacrificed near-term market share to build long-term institutional trust. However, execution has been uneven: Glassdoor reviews cite dysfunctional management and layoff rounds, the Arc blockchain launch raises governance concerns about conflict of interest, and the USDC freeze controversy reveals tension between decentralization ideals and centralized control.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Allaire's vision of raising global economic prosperity through frictionless financial value exchange is genuine, distinctive, and has shaped strategic decisions for over a decade — the regulation-first approach to stablecoins sacrificed market share to Tether in service of building durable, compliant infrastructure [2]. The commitment through multiple crypto winters (including the 2022 crash) and the 2026 TIME100 recognition demonstrate personal alignment. However, the Arc blockchain token presale ($222M from institutional investors at $3B FDV) raises questions about whether the Just Cause is guiding the pivot or financial engineering is, and the company is too young for the cause to be validated through decades of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consistently describe organizational instability — middle management reshuffling, dysfunctional cross-team collaboration, extended work hours, lack of transparent decision-making, and multiple rounds of layoffs that 'didn't remove the right people' [3]. Reports that the company encouraged employees to write favorable Glassdoor reviews is antithetical to trust. The reactive fire-fighting culture described by employees suggests people protect themselves rather than take risks in service of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Circle explicitly positions Tether as a rival whose strengths (larger circulation, broader crypto-native adoption, lower cost structure) motivate Circle to differentiate through regulation-first compliance, transparency in reserves, and institutional trust [1]. The CLARITY Act engagement reflects a company that uses competitive pressure to build a better market structure rather than seeking to destroy rivals. Circle's competitive language consistently focuses on 'building trust' and 'serving institutions' rather than 'winning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Circle executed a meaningful strategic pivot from consumer payments (Circle Pay) to stablecoin infrastructure, abandoning a working consumer product for the larger opportunity of becoming the issuer of a global digital dollar [2]. The Arc blockchain launch and AI agent infrastructure represent further evolution of the business model. However, the consumer payments pivot was partly driven by competitive necessity (Circle Pay could not compete with Venmo/PayPal) rather than purely serving the Just Cause, and the Arc pivot raises governance concerns.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building regulated stablecoin infrastructure during crypto winters required conviction, the USDC freeze controversy exposed inconsistency rather than principled courage — Circle froze 16 unrelated wallets while refusing to freeze a hacker's wallet (Drift Protocol, $285M stolen), then reversed course on one after public backlash [3]. The multiple layoff rounds and product pivots (Circle Pay abandoned, consumer focus abandoned) suggest reactive management. The regulation-first approach, while strategically sound, was also partly necessitated by regulatory pressure rather than purely voluntary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Circle occupies a unique position as the only publicly traded pure-play stablecoin issuer, with USDC circulation exceeding $77B (up 28% YoY) and onchain transaction volume of $21.5T in Q1 2026 (up 263% YoY) [1]. The company has transitioned to GAAP profitability with ROE of 15.35% and profit margin of 15.53%, supported by near-zero leverage (D/E 0.45%) and $1.5B in cash [4]. The Circle Payments Network reached $23B annualized volume (up 130%) and the Arc blockchain presale ($222M from a16z, BlackRock, Apollo) validates the platform expansion strategy. The CLARITY Act provides favorable regulatory clarity that advantages Circle's compliance-first approach against less-regulated competitors. AI agent infrastructure positions USDC as the settlement layer for machine-to-machine commerce — a novel use case that could drive transaction volume independent of crypto market cycles [2].</w:t>
      </w:r>
    </w:p>
    <w:p>
      <w:pPr>
        <w:spacing w:after="120"/>
      </w:pPr>
      <w:r>
        <w:rPr>
          <w:rFonts w:ascii="Calibri" w:hAnsi="Calibri"/>
          <w:b w:val="0"/>
          <w:color w:val="3A4A28"/>
          <w:sz w:val="20"/>
        </w:rPr>
        <w:t>The fundamental concern is revenue quality and sustainability. Interest income on USDC reserves remains the dominant revenue source, creating direct sensitivity to interest rate movements — a 100bps rate cut would reduce annual reserve income by approximately $770M, representing a material portion of the $2.86B LTM revenue base [1]. The TTM profitability metrics (15.35% ROE, 15.53% margin) are inflated by $242M in non-recurring Arc token presale revenue expected to be recognized in 2026; underlying profitability is meaningfully lower. Forward P/E of 55.56x prices in sustained growth that depends on both USDC circulation expansion AND interest rates remaining elevated — a dual dependency that creates significant downside risk [4]. Competition from Tether (~$140B USDT circulation), potential bank-issued stablecoins under the CLARITY Act, and Glassdoor reviews describing dysfunctional management, multiple layoff rounds, and organizational instability raise execution concerns. The Arc blockchain launch introduces governance conflict — Circle simultaneously issues the settlement currency and builds the network, a dual role that regulators and competitors may challenge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CLARITY Act passage codifying U.S. stablecoin regulation, creating a permanent legal framework that advantages Circle's regulation-first approach and could accelerate institutional USDC adoption while imposing compliance costs on less-regulated competitors like Tether [3]</w:t>
      </w:r>
    </w:p>
    <w:p>
      <w:pPr>
        <w:spacing w:before="40" w:after="40"/>
        <w:ind w:left="283"/>
      </w:pPr>
      <w:r>
        <w:rPr>
          <w:rFonts w:ascii="Calibri" w:hAnsi="Calibri"/>
          <w:b/>
          <w:color w:val="4A6B25"/>
          <w:sz w:val="20"/>
        </w:rPr>
        <w:t xml:space="preserve">2. </w:t>
      </w:r>
      <w:r>
        <w:rPr>
          <w:rFonts w:ascii="Calibri" w:hAnsi="Calibri"/>
          <w:b w:val="0"/>
          <w:color w:val="3A4A28"/>
          <w:sz w:val="20"/>
        </w:rPr>
        <w:t>Arc blockchain mainnet launch and ecosystem development — backed by $222M presale from a16z, BlackRock, and Apollo — diversifying revenue beyond reserve income and creating a platform with network effects and transaction fees [2]</w:t>
      </w:r>
    </w:p>
    <w:p>
      <w:pPr>
        <w:spacing w:before="40" w:after="40"/>
        <w:ind w:left="283"/>
      </w:pPr>
      <w:r>
        <w:rPr>
          <w:rFonts w:ascii="Calibri" w:hAnsi="Calibri"/>
          <w:b/>
          <w:color w:val="4A6B25"/>
          <w:sz w:val="20"/>
        </w:rPr>
        <w:t xml:space="preserve">3. </w:t>
      </w:r>
      <w:r>
        <w:rPr>
          <w:rFonts w:ascii="Calibri" w:hAnsi="Calibri"/>
          <w:b w:val="0"/>
          <w:color w:val="3A4A28"/>
          <w:sz w:val="20"/>
        </w:rPr>
        <w:t>AI agent economy adoption of USDC as the settlement layer for machine-to-machine transactions, with Circle's May 2026 AI infrastructure launch positioning it at the intersection of two secular growth trends — a use case that could drive transaction volume independent of crypto market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Reserve yield compression as central banks cut rates — Circle's revenue is predominantly interest income on $77B+ in reserves, and a 100bps rate cut would reduce annual revenue by approximately $770M, potentially erasing profitability and justifying the bear case that Circle is a rate-sensitive money market fund with blockchain wrapping [1]</w:t>
      </w:r>
    </w:p>
    <w:p>
      <w:pPr>
        <w:spacing w:before="40" w:after="40"/>
        <w:ind w:left="283"/>
      </w:pPr>
      <w:r>
        <w:rPr>
          <w:rFonts w:ascii="Calibri" w:hAnsi="Calibri"/>
          <w:b/>
          <w:color w:val="4A6B25"/>
          <w:sz w:val="20"/>
        </w:rPr>
        <w:t xml:space="preserve">2. </w:t>
      </w:r>
      <w:r>
        <w:rPr>
          <w:rFonts w:ascii="Calibri" w:hAnsi="Calibri"/>
          <w:b w:val="0"/>
          <w:color w:val="3A4A28"/>
          <w:sz w:val="20"/>
        </w:rPr>
        <w:t>Competition from Tether (~$140B USDT circulation) and potential bank-issued stablecoins that could leverage existing banking relationships, regulatory advantages under the CLARITY Act, and lower distribution costs to capture institutional market share</w:t>
      </w:r>
    </w:p>
    <w:p>
      <w:pPr>
        <w:spacing w:before="40" w:after="40"/>
        <w:ind w:left="283"/>
      </w:pPr>
      <w:r>
        <w:rPr>
          <w:rFonts w:ascii="Calibri" w:hAnsi="Calibri"/>
          <w:b/>
          <w:color w:val="4A6B25"/>
          <w:sz w:val="20"/>
        </w:rPr>
        <w:t xml:space="preserve">3. </w:t>
      </w:r>
      <w:r>
        <w:rPr>
          <w:rFonts w:ascii="Calibri" w:hAnsi="Calibri"/>
          <w:b w:val="0"/>
          <w:color w:val="3A4A28"/>
          <w:sz w:val="20"/>
        </w:rPr>
        <w:t>Governance conflict from Circle's dual role as both stablecoin issuer and Arc blockchain operator — the company simultaneously issues the settlement currency and builds the network, a concentration of power that financial regulation typically prohibits and that Forbes has flagged as 'a conflict the GENIUS Act missed'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Circle's core stablecoin business is structural financial infrastructure — USDC serves as a settlement layer and digital dollar on blockchain networks, a function that AI cannot substitute [1]. Stablecoin issuance requires regulatory compliance, reserve management, banking relationships, audit frameworks, and institutional trust that AI tools cannot replicate. The CLARITY Act regulatory framework provides additional structural protection by codifying requirements that favor established, compliant issuers. The primary competitive risks are from Tether (larger circulation), bank-issued stablecoins (regulatory advantages), and interest rate sensitivity — none of which are AI-driven displacement risks. AI Opportunity (1/1): Circle launched specific AI infrastructure products in May 2026, positioning USDC as the payment and settlement layer for the agentic AI economy — enabling AI agents to hold assets, discover services, and transact autonomously across blockchains [2]. CEO Allaire positioned Circle at the intersection of AI and blockchain where machine-speed, globally available financial infrastructure is a prerequisite for AI agent commerce.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Circle Internet Group Q1 2026 and Q2 2026 Earnings — Revenue $694M (+20% YoY), Adjusted EBITDA $151M, USDC $77B circulation, CPN $23B annualized volume, TIKR/Yahoo Finance, 2026</w:t>
      </w:r>
    </w:p>
    <w:p>
      <w:pPr>
        <w:spacing w:before="20" w:after="20"/>
        <w:ind w:left="170"/>
      </w:pPr>
      <w:r>
        <w:rPr>
          <w:rFonts w:ascii="Calibri" w:hAnsi="Calibri"/>
          <w:b/>
          <w:color w:val="4A6B25"/>
          <w:sz w:val="15"/>
        </w:rPr>
        <w:t xml:space="preserve">2. </w:t>
      </w:r>
      <w:r>
        <w:rPr>
          <w:rFonts w:ascii="Calibri" w:hAnsi="Calibri"/>
          <w:b w:val="0"/>
          <w:color w:val="3A4A28"/>
          <w:sz w:val="17"/>
        </w:rPr>
        <w:t>Circle Arc Blockchain, AI Infrastructure, and Platform Strategy — $222M presale from a16z/BlackRock/Apollo, AI agent infrastructure launch May 2026, circle.com, 2026</w:t>
      </w:r>
    </w:p>
    <w:p>
      <w:pPr>
        <w:spacing w:before="20" w:after="20"/>
        <w:ind w:left="170"/>
      </w:pPr>
      <w:r>
        <w:rPr>
          <w:rFonts w:ascii="Calibri" w:hAnsi="Calibri"/>
          <w:b/>
          <w:color w:val="4A6B25"/>
          <w:sz w:val="15"/>
        </w:rPr>
        <w:t xml:space="preserve">3. </w:t>
      </w:r>
      <w:r>
        <w:rPr>
          <w:rFonts w:ascii="Calibri" w:hAnsi="Calibri"/>
          <w:b w:val="0"/>
          <w:color w:val="3A4A28"/>
          <w:sz w:val="17"/>
        </w:rPr>
        <w:t>Circle Regulatory Environment and Governance — CLARITY Act stablecoin legislation, Arc governance conflict, USDC freeze controversy, CNBC/Forbes/Investing.com,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CRCL Key Statistics: Forward P/E 55.56x, ROE 15.35%, D/E 0.45%, Profit Margin 15.53%, Stock Price $70.37,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