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CRI</w:t>
      </w:r>
      <w:r>
        <w:rPr>
          <w:rFonts w:ascii="Calibri" w:hAnsi="Calibri"/>
          <w:b/>
          <w:color w:val="1A2010"/>
          <w:sz w:val="40"/>
        </w:rPr>
        <w:t xml:space="preserve">  Carter's, Inc.</w:t>
      </w:r>
    </w:p>
    <w:p>
      <w:pPr>
        <w:spacing w:after="120"/>
      </w:pPr>
      <w:r>
        <w:rPr>
          <w:rFonts w:ascii="Calibri" w:hAnsi="Calibri"/>
          <w:b/>
          <w:color w:val="6E8450"/>
          <w:sz w:val="18"/>
        </w:rPr>
        <w:t>DIVIDEND SLEEVE · 2026-08-04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Carter's, Inc. is the largest branded marketer of young children's apparel in the United States. The company designs, sources, and markets baby and children's clothing under the Carter's, OshKosh B'Gosh, Skip Hop, and Little Planet brands through company-operated stores, e-commerce, and wholesale channels including Target, Walmart, and Amazon. Founded in 1865, headquartered in Atlanta, Georgia.</w:t>
      </w:r>
    </w:p>
    <w:p>
      <w:r>
        <w:rPr>
          <w:rFonts w:ascii="Calibri" w:hAnsi="Calibri"/>
          <w:b/>
          <w:color w:val="6E8450"/>
          <w:sz w:val="18"/>
        </w:rPr>
        <w:t>16,000 Employees · https://www.carters.com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Carter's has invested in e-commerce and digital marketing capabilities over the last five years — Q2 2026 delivered double-digit comparable e-commerce sales growth driven by enhanced digital features and effective marketing [1]. However, the core business model of designing and selling children's clothing has not meaningfully changed, and revenues declined from $3.49B in FY2021 to $2.90B in FY2025 before stabilizing. AI Deployment (0/2): No AI-powered products or AI-driven operational efficiencies reported in filings or earnings calls [3]. Market Share (2/2): Carter's is the #1 branded children's apparel company in the United States, with dominant market share across baby and toddler categories through Carter's and OshKosh B'Gosh brands, selling across owned retail, e-commerce, and mass merchant channels [1]. Product Pipeline (0/2): No next-generation product launches with specific timelines; children's apparel does not lend itself to traditional product pipeline visibility. R&amp;D Intensity (0/1): Apparel companies do not invest in traditional R&amp;D; design and sourcing capabilities are operational functions rather than research activities.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Carter's positions itself around 'celebrating the joy of childhood' with an organizational culture built on 'L.O.V.E — Living Our Values Everyday' — a clear purpose connecting the business to supporting families, but not sufficiently distinctive to differentiate from peer children's brands [3]. Community Impact (1/2): Carter's publishes a 'Raise the Future' impact report with specific sustainability commitments including reducing virgin plastic packaging by 50% by 2030 (already achieved 30%+ reduction), though no specific charitable foundation or dollar-denominated community investment was identified [4]. Employee Retention (0/2): Glassdoor rating of 3.5/5 from 2,713 reviews with only 51% CEO approval for new CEO Doug Palladini (appointed April 2025) and 47% positive business outlook — below average for a major employer, with 3.2/5 for career opportunities [3]. Insider Buying (0/2): No evidence of meaningful net insider buying by CEO Douglas Palladini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ROE of 20.7% exceeds the 15% target, reflecting solid capital efficiency despite a challenging revenue environment [2]. Forward P/E of 11.53 and trailing P/E of 7.44 indicate the stock is cheaply valued, though the depressed PE partly reflects the $132M one-time tariff recovery in Q2 2026 that boosted reported EPS [1]. D/E of 115% is moderately elevated. Profit margin of 6.55% is typical for apparel retail but well below the 20% target. Revenue has declined from $3.49B (FY2021) to $2.90B (FY2025), producing a negative 5-year CAGR of -0.9%, though H1 2026 growth of 6.7% signals stabilization [1][2]. Dividend payout ratio of 18.7% is conservative, but the COVID suspension in 2020 resets consecutive payment history to ~4 years and the dividend was reinstated at a significantly lower level ($1.00 vs. pre-COVID $2.40). FCF of $293M provides substantial cash generation (20% FCF yield). Liquidity floor passes: 1.0M avg volume x $39.89 = $41.3M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Carter's benefits from 161 years of purpose-driven existence serving families with children's apparel, but the company's recent trajectory — three consecutive years of revenue decline, a COVID dividend suspension, and a new CEO from outside the company — raises questions about whether the infinite game posture is sustainable. The 'L.O.V.E' values framework and 'Raise the Future' initiatives suggest intentional culture building, but employee sentiment and strategic execution have weakened.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Carter's purpose of celebrating childhood and supporting families through trusted children's apparel has been validated by 161 years of continuous operation since 1865 — the company has survived the Civil War, two World Wars, the Great Depression, and multiple retail disruptions [3]. The cause is genuine and connects the company's work to something meaningful (every parent needs to clothe their children). However, the cause is tied to a specific product category rather than a transcendent vision, and the recent revenue decline suggests the cause alone is insufficient to drive competitive advantage in an era of e-commerce disruption.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Carter's 'L.O.V.E — Living Our Values Everyday' framework represents intentional culture building, and the company's careers page emphasizes team culture and employee development [3]. However, Glassdoor reviews (3.5/5 from 2,713 reviews) show mixed employee sentiment, with only 51% CEO approval for new CEO Doug Palladini and a below-average 47% positive business outlook. The CEO transition from long-tenured internal leadership to an external hire from Vans may create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Carter's positions itself as 'the largest branded marketer of young children's apparel' — language emphasizing dominance rather than learning from competitors [1]. No acknowledgment of what Carter's learns from competitors like Shein, H&amp;M Kids, or Target's private-label children's lines.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Carter's has evolved from a primarily wholesale business to a multi-channel retailer with company-operated stores, e-commerce, and wholesale channels [1]. The expansion into Skip Hop (accessories) and Little Planet (organic/sustainable) brands represents product line evolution. The shift toward direct-to-consumer with double-digit e-commerce comp growth shows adaptation. However, the core business model of selling children's clothing has not fundamentally changed, and the company has not demonstrated willingness to move beyond apparel.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Hiring external CEO Doug Palladini from Vans after three years of revenue decline required board-level courage to acknowledge that internal leadership could not reverse the trajectory [3]. Maintaining investment in e-commerce and digital marketing capabilities during revenue contraction shows willingness to invest through adversity. However, the COVID dividend suspension and reluctance to reinstate at pre-COVID levels ($1.00 vs. $2.40) suggests caution over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Carter's is the dominant children's apparel brand in the US, and H1 2026 signals a genuine revenue inflection after three years of decline — Q1 delivered 8.1% growth with 10.5% comparable store sales, and Q2 posted 5% growth driven by double-digit e-commerce comps [1]. At a trailing P/E of 7.44 and 20% FCF yield ($293M FCF on $1.46B market cap), CRI is deeply undervalued if the revenue recovery sustains. New CEO Doug Palladini (former Vans Global Brand President who doubled revenue to $4.2B) brings proven direct-to-consumer expertise [3]. The $132M tariff recovery in Q2 2026 and 2.51% dividend yield provide additional near-term shareholder returns. The 161-year-old brand has survived every retail disruption and serves a needs-based market that every parent enters.</w:t>
      </w:r>
    </w:p>
    <w:p>
      <w:pPr>
        <w:spacing w:after="120"/>
      </w:pPr>
      <w:r>
        <w:rPr>
          <w:rFonts w:ascii="Calibri" w:hAnsi="Calibri"/>
          <w:b w:val="0"/>
          <w:color w:val="3A4A28"/>
          <w:sz w:val="20"/>
        </w:rPr>
        <w:t>The bear case centers on structural revenue decline and competitive pressure. Revenue has fallen from $3.49B (FY2021) to $2.90B (FY2025), a 17% contraction over four years driven by US birth rate declines, intensifying competition from Shein, Temu, and Target/Walmart private labels, and post-COVID normalization of children's spending [2]. The Q2 2026 EPS of $2.87 was inflated by a one-time $132M tariff recovery from the US Government — underlying operating profitability remains thin at 2.9% adjusted operating margin [1]. Short interest of 10.15% signals significant bearish institutional conviction. The dividend was suspended during COVID and reinstated at less than half the pre-COVID level ($1.00 vs. $2.40), and the PEG ratio of 4.25 reflects minimal expected EPS growth. New CEO Palladini's turnaround from Vans has not yet been replicated at Carter's.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revenue growth of 6.7% with double-digit e-commerce comparable sales signals potential trend reversal after three consecutive years of revenue decline [1]</w:t>
      </w:r>
    </w:p>
    <w:p>
      <w:pPr>
        <w:spacing w:before="40" w:after="40"/>
        <w:ind w:left="283"/>
      </w:pPr>
      <w:r>
        <w:rPr>
          <w:rFonts w:ascii="Calibri" w:hAnsi="Calibri"/>
          <w:b/>
          <w:color w:val="4A6B25"/>
          <w:sz w:val="20"/>
        </w:rPr>
        <w:t xml:space="preserve">2. </w:t>
      </w:r>
      <w:r>
        <w:rPr>
          <w:rFonts w:ascii="Calibri" w:hAnsi="Calibri"/>
          <w:b w:val="0"/>
          <w:color w:val="3A4A28"/>
          <w:sz w:val="20"/>
        </w:rPr>
        <w:t>New CEO Doug Palladini's direct-to-consumer expertise (doubled Vans revenue to $4.2B) could accelerate Carter's digital transformation and brand revitalization [3]</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7.44x trailing earnings and 20% FCF yield provides significant re-rating potential if revenue recovery sustains through H2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 revenue contracted 17% from $3.49B to $2.90B over FY2021-FY2025, driven by declining US birth rates and intensifying competition from fast fashion and private-label alternatives [2]</w:t>
      </w:r>
    </w:p>
    <w:p>
      <w:pPr>
        <w:spacing w:before="40" w:after="40"/>
        <w:ind w:left="283"/>
      </w:pPr>
      <w:r>
        <w:rPr>
          <w:rFonts w:ascii="Calibri" w:hAnsi="Calibri"/>
          <w:b/>
          <w:color w:val="4A6B25"/>
          <w:sz w:val="20"/>
        </w:rPr>
        <w:t xml:space="preserve">2. </w:t>
      </w:r>
      <w:r>
        <w:rPr>
          <w:rFonts w:ascii="Calibri" w:hAnsi="Calibri"/>
          <w:b w:val="0"/>
          <w:color w:val="3A4A28"/>
          <w:sz w:val="20"/>
        </w:rPr>
        <w:t>Q2 2026 EPS of $2.87 was materially inflated by a one-time $132M tariff recovery — underlying operating margins remain thin and may not sustain current earnings trajectory [1]</w:t>
      </w:r>
    </w:p>
    <w:p>
      <w:pPr>
        <w:spacing w:before="40" w:after="40"/>
        <w:ind w:left="283"/>
      </w:pPr>
      <w:r>
        <w:rPr>
          <w:rFonts w:ascii="Calibri" w:hAnsi="Calibri"/>
          <w:b/>
          <w:color w:val="4A6B25"/>
          <w:sz w:val="20"/>
        </w:rPr>
        <w:t xml:space="preserve">3. </w:t>
      </w:r>
      <w:r>
        <w:rPr>
          <w:rFonts w:ascii="Calibri" w:hAnsi="Calibri"/>
          <w:b w:val="0"/>
          <w:color w:val="3A4A28"/>
          <w:sz w:val="20"/>
        </w:rPr>
        <w:t>Short interest of 10.15% reflects significant bearish institutional conviction, and PEG of 4.25 implies the market expects minimal earnings growth despite the low PE multiple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Carter's core business is physical — designing, sourcing, and selling baby and children's clothing through retail stores, e-commerce, and wholesale channels [1]. AI cannot substitute for physical clothing that parents need to buy for growing children, and Carter's brand trust (161 years, trusted by generations of parents) creates a moat that AI cannot replicate. The needs-based nature of children's apparel (kids grow and need new clothes) provides structural demand protection. However, AI-driven fast fashion competitors (Shein, Temu) are using data-driven design and pricing to pressure traditional apparel brands, and AI-powered marketing and recommendation engines could erode Carter's digital competitive position. AI Opportunity (0/1): No AI-related revenue streams or AI-powered products identified. Carter's e-commerce platform could benefit from AI-driven personalization and marketing optimization but has not reported such implementations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Carter's Q2 FY2026 Earnings Release — $615M revenue (up 5%), adjusted operating income up 54%, $132M tariff recovery,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CRI Statistics, Revenue History,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Carter's leadership (CEO Doug Palladini, April 2025), Glassdoor reviews (3.5/5, 2,713 reviews), L.O.V.E culture framework,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Carter's ESG — Raise the Future Impact Report, 50% virgin plastic reduction target by 2030, social compliance, Green America review,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