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CTEV</w:t>
      </w:r>
      <w:r>
        <w:rPr>
          <w:rFonts w:ascii="Calibri" w:hAnsi="Calibri"/>
          <w:b/>
          <w:color w:val="1A2010"/>
          <w:sz w:val="40"/>
        </w:rPr>
        <w:t xml:space="preserve">  Claritev Corporation</w:t>
      </w:r>
    </w:p>
    <w:p>
      <w:pPr>
        <w:spacing w:after="120"/>
      </w:pPr>
      <w:r>
        <w:rPr>
          <w:rFonts w:ascii="Calibri" w:hAnsi="Calibri"/>
          <w:b/>
          <w:color w:val="6E8450"/>
          <w:sz w:val="18"/>
        </w:rPr>
        <w:t>GROWTH SLEEVE · 2026-07-31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Claritev Corporation (formerly MultiPlan Corporation) is a healthcare technology, data, and insights company focused on delivering affordability, transparency, and quality across the U.S. healthcare system. The company provides analytics-based services, data and decision science, network-based services, payment and revenue integrity, and end-to-end surprise billing solutions. Founded in 1980, headquartered in McLean, Virginia. Processes approximately $177.6B in medical charges annually, identifying $24.7B in potential savings. Rebranded from MultiPlan and began trading as CTEV on NYSE in February 2025.</w:t>
      </w:r>
    </w:p>
    <w:p>
      <w:r>
        <w:rPr>
          <w:rFonts w:ascii="Calibri" w:hAnsi="Calibri"/>
          <w:b/>
          <w:color w:val="6E8450"/>
          <w:sz w:val="18"/>
        </w:rPr>
        <w:t>2,700 Employees · https://www.claritev.com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Claritev rebranded from MultiPlan in February 2025 and is executing a digital transformation including cloud migration to Oracle and platform modernization, but the core business model — payment integrity and out-of-network repricing analytics — remains fundamentally unchanged since 1980 [1][3]. The rebrand and technology refresh are incremental modernization, not a transformative pivot. AI Deployment (1/2): Claritev appointed Fernando Schwartz as Chief AI Officer in April 2025 and describes its platform as 'AI-powered' for network optimization and cost savings identification [3]. The platform processes $177.6B in medical charges and identifies $24.7B in savings, though it is unclear how much of this is genuinely AI-driven versus traditional rules-based analytics. No specific AI revenue or cost savings are quantified. Market Share (1/2): Claritev is one of the largest independent healthcare payment analytics companies, processing over 1 million claims daily. However, market position is under pressure from payer in-sourcing and antitrust litigation, with the American Physical Therapy Association joining federal antitrust litigation alleging systematic underpayment of providers [1][4]. Product Pipeline (0/2): Vision 2030 targets $1.3B revenue and $800M adjusted EBITDA but specifies no named next-generation products with specific launch dates. The growth plan appears to be organic volume growth on the existing platform [2]. R&amp;D Intensity (1/1): As a technology company, Claritev invests in platform development, cloud migration, and AI capabilities, though specific R&amp;D spending as a percentage of revenue is not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Claritev's mission — 'delivering affordability, transparency, and quality across the U.S. healthcare system' — is clear and connects the company's work to a meaningful societal problem (healthcare costs) [3]. However, the company's actual revenue model involves reducing provider reimbursements, which creates inherent tension with claims of improving healthcare quality. The antitrust litigation alleging systematic underpayment of providers directly challenges the 'affordability and quality' narrative. Community Impact (1/2): Partnership with the National Rural Health Association to improve access to affordable care in underserved communities demonstrates some community investment aligned with the company's stated mission [3]. The ESG commitment to eliminate 100% of on-premise data centers via Oracle Cloud migration addresses environmental impact. Employee Retention (0/2): No employee retention or tenure data available. The company has 2,700 employees but no publicly reported turnover, tenure, or culture metrics. Insider Buying (0/2): No insider buying data identified in available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Q1 2026 revenue of $244.7M (up 5.8% YoY) beat modestly, but net loss widened to $73.6M ($4.41 loss per share) driven by heavy interest expense on $4.74B in total debt against negative shareholders' equity of -$167M [1][2]. The SPAC legacy capital structure is the defining infrastructure weakness — Claritev's liabilities exceed its assets, making D/E effectively infinite and ROE not meaningful. Annual revenue of ~$979M generates ~$610M adjusted EBITDA (62% margin) but $286.5M in GAAP net losses due to $400M+ annual interest expense and amortization of acquired intangibles. Forward P/E of 14.82 based on adjusted earnings scores maximum, and revenue growth of 3.9% provides partial credit, but negative equity, negative ROE, and deeply negative profit margin (-29.3%) drag the score to 3. Liquidity passes: 129,350 avg daily volume at ~$25.93 = $3.35M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Claritev operates as a finite player — optimizing for quarterly revenue targets, adjusted EBITDA margins, and debt reduction metrics outlined in its Vision 2030 plan. The rebrand from MultiPlan was driven by poor stock performance and reputational concerns around the antitrust litigation, not by a fundamental shift in purpose. The company's revenue model (reducing provider payments) creates inherent tension with its stated mission of improving healthcare, and leadership communications focus on financial engineering metrics rather than patient or provider outcomes.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Claritev's stated purpose — 'delivering affordability, transparency, and quality across the U.S. healthcare system' — is aspirational but contradicted by its business reality [3]. The company's primary revenue comes from repricing out-of-network medical claims at lower rates, which reduces provider payments. The federal antitrust litigation (APTA and others) alleges this creates a conspiracy to systematically underpay healthcare providers [4]. A Just Cause that is actively challenged in federal court by the people it claims to serve cannot score above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retention, or culture data available. The company has undergone significant leadership turnover with new CAIO (Fernando Schwartz) and CMO (Jigar Patel) appointed in April 2025, plus a complete rebrand that changes the company's identity [3]. 2,700 employees are navigating a brand change, cloud migration, antitrust litigation, and a stock that has declined 30%+ — conditions that typically erode organizational trust. No evidence of employee empowerment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Claritev's leadership acknowledging competitors' strengths or using competitive pressure for self-improvement. The rebrand and AI strategy appear to be defensive responses to market pressure rather than competitive learning. Communications focus on Claritev's own capabilities and Vision 2030 targets rather than how rivals' innovations are shaping the company's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MultiPlan to Claritev, cloud migration to Oracle (eliminating 100% of on-premise data centers), appointment of a Chief AI Officer, and pivot toward AI-powered analytics represent meaningful adaptation of the business model in response to market and technology shifts [2][3]. However, the core revenue model (repricing out-of-network claims) remains unchanged, and the changes are evolutionary rather than transformative. The company has not abandoned any business line or entered an entirely new market.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decisions that sacrificed short-term earnings for long-term capability. The MultiPlan-to-Claritev rebrand and cloud migration are defensive responses to poor stock performance (market cap down 30%+ in one year) and reputational damage, not courageous bets on the future [2][3]. The SPAC origin (2020) loaded the company with $4.74B in debt that generates $400M+ annual interest expense, and management has been unable to delever meaningfully. Vision 2030's target of reducing net leverage toward 5.0x acknowledges but does not resolve this structural problem.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Claritev offers a potential turnaround story in healthcare technology at a heavily discounted valuation. At $25.93 per share with ~$979M TTM revenue, the stock trades at just 0.5x revenue despite generating 61-62% adjusted EBITDA margins ($605-615M guided for 2026) [1][2]. The Vision 2030 plan targeting $1.3B revenue and $800M EBITDA represents 33% revenue growth and significant scale leverage over 4 years. Q1 2026 revenue grew 5.8% YoY to $244.7M, and management raised revenue guidance to $985M-$1B [1]. The appointment of a Chief AI Officer and AI platform integration could drive productivity gains and product differentiation. If Claritev can successfully execute its digital transformation and delever toward 5.0x net leverage, the equity value could appreciate significantly from its current heavily debt-burdened levels.</w:t>
      </w:r>
    </w:p>
    <w:p>
      <w:pPr>
        <w:spacing w:after="120"/>
      </w:pPr>
      <w:r>
        <w:rPr>
          <w:rFonts w:ascii="Calibri" w:hAnsi="Calibri"/>
          <w:b w:val="0"/>
          <w:color w:val="3A4A28"/>
          <w:sz w:val="20"/>
        </w:rPr>
        <w:t>The bear case is severe. Claritev's $4.74B debt load against negative shareholders' equity of -$167M creates an unsustainable capital structure — annual interest expense exceeds $400M, consuming over 40% of revenue and producing GAAP net losses of $286.5M ($17.32 loss per share) despite strong operating cash flow [1][2]. The company cannot meaningfully delever without either dramatic revenue growth or equity issuance, and the 30%+ decline in market cap over the past year reflects market skepticism about the path forward. The federal antitrust litigation (APTA et al.) alleges systematic underpayment of healthcare providers, creating existential legal risk to the business model [4]. Revenue growth of only 3.9% is insufficient to grow out of the debt burden, and payer in-sourcing of analytics capabilities threatens long-term revenue retention. The IOWN framework's emphasis on financial durability (infrastructure) makes SELL the appropriate recommendation for a company with negative equity and chronic GAAP losses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deleveraging toward Vision 2030 target of 5.0x net leverage, potentially through a combination of organic free cash flow generation and non-core asset monetization</w:t>
      </w:r>
    </w:p>
    <w:p>
      <w:pPr>
        <w:spacing w:before="40" w:after="40"/>
        <w:ind w:left="283"/>
      </w:pPr>
      <w:r>
        <w:rPr>
          <w:rFonts w:ascii="Calibri" w:hAnsi="Calibri"/>
          <w:b/>
          <w:color w:val="4A6B25"/>
          <w:sz w:val="20"/>
        </w:rPr>
        <w:t xml:space="preserve">2. </w:t>
      </w:r>
      <w:r>
        <w:rPr>
          <w:rFonts w:ascii="Calibri" w:hAnsi="Calibri"/>
          <w:b w:val="0"/>
          <w:color w:val="3A4A28"/>
          <w:sz w:val="20"/>
        </w:rPr>
        <w:t>Q2-Q3 2026 earnings demonstrating accelerating revenue growth toward the $985M-$1B guidance range, with expanding adjusted EBITDA margins validating the AI and digital transformation investment</w:t>
      </w:r>
    </w:p>
    <w:p>
      <w:pPr>
        <w:spacing w:before="40" w:after="40"/>
        <w:ind w:left="283"/>
      </w:pPr>
      <w:r>
        <w:rPr>
          <w:rFonts w:ascii="Calibri" w:hAnsi="Calibri"/>
          <w:b/>
          <w:color w:val="4A6B25"/>
          <w:sz w:val="20"/>
        </w:rPr>
        <w:t xml:space="preserve">3. </w:t>
      </w:r>
      <w:r>
        <w:rPr>
          <w:rFonts w:ascii="Calibri" w:hAnsi="Calibri"/>
          <w:b w:val="0"/>
          <w:color w:val="3A4A28"/>
          <w:sz w:val="20"/>
        </w:rPr>
        <w:t>Resolution or favorable settlement of the federal antitrust litigation (APTA et al.) that would remove the overhang on the company's business model and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capital structure with $4.74B debt against negative equity of -$167M generates $400M+ annual interest expense, producing chronic GAAP net losses with no clear deleveraging path at current revenue growth rates</w:t>
      </w:r>
    </w:p>
    <w:p>
      <w:pPr>
        <w:spacing w:before="40" w:after="40"/>
        <w:ind w:left="283"/>
      </w:pPr>
      <w:r>
        <w:rPr>
          <w:rFonts w:ascii="Calibri" w:hAnsi="Calibri"/>
          <w:b/>
          <w:color w:val="4A6B25"/>
          <w:sz w:val="20"/>
        </w:rPr>
        <w:t xml:space="preserve">2. </w:t>
      </w:r>
      <w:r>
        <w:rPr>
          <w:rFonts w:ascii="Calibri" w:hAnsi="Calibri"/>
          <w:b w:val="0"/>
          <w:color w:val="3A4A28"/>
          <w:sz w:val="20"/>
        </w:rPr>
        <w:t>Federal antitrust litigation (APTA and others) alleges systematic conspiracy to underpay healthcare providers — an adverse ruling could force fundamental changes to the repricing business model that generates the majority of revenue</w:t>
      </w:r>
    </w:p>
    <w:p>
      <w:pPr>
        <w:spacing w:before="40" w:after="40"/>
        <w:ind w:left="283"/>
      </w:pPr>
      <w:r>
        <w:rPr>
          <w:rFonts w:ascii="Calibri" w:hAnsi="Calibri"/>
          <w:b/>
          <w:color w:val="4A6B25"/>
          <w:sz w:val="20"/>
        </w:rPr>
        <w:t xml:space="preserve">3. </w:t>
      </w:r>
      <w:r>
        <w:rPr>
          <w:rFonts w:ascii="Calibri" w:hAnsi="Calibri"/>
          <w:b w:val="0"/>
          <w:color w:val="3A4A28"/>
          <w:sz w:val="20"/>
        </w:rPr>
        <w:t>Payer in-sourcing risk as large health insurers (UnitedHealth, Cigna, Aetna) invest in AI-powered internal claims processing and payment integrity capabilities, reducing dependence on third-party intermediaries like Claritev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Claritev's core business — healthcare payment analytics, network optimization, and claims repricing — faces meaningful AI disruption risk from multiple angles [3]. Large health insurers (UnitedHealth, Cigna, Aetna) are investing billions in AI-powered claims processing and payment integrity tools that could reduce reliance on third-party intermediaries like Claritev. AI-powered healthcare pricing transparency (required by federal regulation) could make Claritev's repricing analytics less differentiated. Startups using LLMs for automated claims review could compress margins. However, Claritev's proprietary dataset (processing $177.6B in medical charges, 40+ years of claims data) and established payer relationships provide meaningful switching costs. The company is adapting by appointing a Chief AI Officer and deploying AI across its platform, but the outcome of this race between in-house AI and third-party analytics is uncertain. AI Opportunity (1/1): Claritev generates AI-augmented revenue through its analytics platform that uses machine learning for cost savings identification, network optimization, and pricing transparency. The appointment of a dedicated Chief AI Officer (Fernando Schwartz) and description of the platform as 'world-class technology and AI' suggests meaningful integration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Claritev Q1 2026 Earnings Release — Revenue $244.7M, Net Loss $73.6M, May 7, 2026</w:t>
      </w:r>
    </w:p>
    <w:p>
      <w:pPr>
        <w:spacing w:before="20" w:after="20"/>
        <w:ind w:left="170"/>
      </w:pPr>
      <w:r>
        <w:rPr>
          <w:rFonts w:ascii="Calibri" w:hAnsi="Calibri"/>
          <w:b/>
          <w:color w:val="4A6B25"/>
          <w:sz w:val="15"/>
        </w:rPr>
        <w:t xml:space="preserve">2. </w:t>
      </w:r>
      <w:r>
        <w:rPr>
          <w:rFonts w:ascii="Calibri" w:hAnsi="Calibri"/>
          <w:b w:val="0"/>
          <w:color w:val="3A4A28"/>
          <w:sz w:val="17"/>
        </w:rPr>
        <w:t>Claritev 2026 Revenue Guidance ($980M-$1B) and Vision 2030 Growth Plan, Seeking Alpha, March 2026</w:t>
      </w:r>
    </w:p>
    <w:p>
      <w:pPr>
        <w:spacing w:before="20" w:after="20"/>
        <w:ind w:left="170"/>
      </w:pPr>
      <w:r>
        <w:rPr>
          <w:rFonts w:ascii="Calibri" w:hAnsi="Calibri"/>
          <w:b/>
          <w:color w:val="4A6B25"/>
          <w:sz w:val="15"/>
        </w:rPr>
        <w:t xml:space="preserve">3. </w:t>
      </w:r>
      <w:r>
        <w:rPr>
          <w:rFonts w:ascii="Calibri" w:hAnsi="Calibri"/>
          <w:b w:val="0"/>
          <w:color w:val="3A4A28"/>
          <w:sz w:val="17"/>
        </w:rPr>
        <w:t>Claritev Leadership Team Expansion — CAIO Fernando Schwartz, CMO Jigar Patel, BusinessWire, April 2025</w:t>
      </w:r>
    </w:p>
    <w:p>
      <w:pPr>
        <w:spacing w:before="20" w:after="20"/>
        <w:ind w:left="170"/>
      </w:pPr>
      <w:r>
        <w:rPr>
          <w:rFonts w:ascii="Calibri" w:hAnsi="Calibri"/>
          <w:b/>
          <w:color w:val="4A6B25"/>
          <w:sz w:val="15"/>
        </w:rPr>
        <w:t xml:space="preserve">4. </w:t>
      </w:r>
      <w:r>
        <w:rPr>
          <w:rFonts w:ascii="Calibri" w:hAnsi="Calibri"/>
          <w:b w:val="0"/>
          <w:color w:val="3A4A28"/>
          <w:sz w:val="17"/>
        </w:rPr>
        <w:t>MultiPlan/Claritev Federal Antitrust Litigation — APTA Filing,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CTEV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