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CVBF</w:t>
      </w:r>
      <w:r>
        <w:rPr>
          <w:rFonts w:ascii="Calibri" w:hAnsi="Calibri"/>
          <w:b/>
          <w:color w:val="1A2010"/>
          <w:sz w:val="40"/>
        </w:rPr>
        <w:t xml:space="preserve">  CVB Financial Corp.</w:t>
      </w:r>
    </w:p>
    <w:p>
      <w:pPr>
        <w:spacing w:after="120"/>
      </w:pPr>
      <w:r>
        <w:rPr>
          <w:rFonts w:ascii="Calibri" w:hAnsi="Calibri"/>
          <w:b/>
          <w:color w:val="6E8450"/>
          <w:sz w:val="18"/>
        </w:rPr>
        <w:t>DIVIDEND SLEEVE · 2026-07-28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CVB Financial Corp. is the holding company for Citizens Business Bank, one of the 10 largest bank holding companies headquartered in California. The bank provides commercial banking, lending, trust services, and treasury management to small and mid-sized businesses and individuals through 75+ banking centers across California. Total assets exceed $21.2B following the April 2026 acquisition of Heritage Commerce Corp. The company has achieved 197 consecutive quarters of profitability — nearly 50 years without a quarterly loss.</w:t>
      </w:r>
    </w:p>
    <w:p>
      <w:r>
        <w:rPr>
          <w:rFonts w:ascii="Calibri" w:hAnsi="Calibri"/>
          <w:b/>
          <w:color w:val="6E8450"/>
          <w:sz w:val="18"/>
        </w:rPr>
        <w:t>1,500 Employees · https://www.cbbank.com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CVB Financial completed its transformative acquisition of Heritage Commerce Corp on April 17, 2026, expanding total assets from $15.5B to $21.2B and entering the Bay Area market [1]. Q2 2026 net interest income rose 45.5% YoY to $162.4M, and loan originations were approximately 85% higher than Q2 2025 with average yields of approximately 6% [1]. However, bank M&amp;A is traditional strategic execution rather than product innovation — the core business model is unchanged. AI Deployment (0/2): No evidence of AI-powered products or measurable AI-driven cost savings in any public disclosures; the bank operates a traditional commercial banking model with standard digital capabilities [2]. Market Share (2/2): Citizens Business Bank is one of the 10 largest bank holding companies headquartered in California with $21.2B in assets, recognized by Forbes as a Best Bank in America for 2026, and has achieved 197 consecutive quarters of profitability — a distinction demonstrating sustained category-leading operational performance [1][2]. Product Pipeline (1/2): The Heritage Commerce integration provides clear near-term revenue visibility through Bay Area market penetration and balance sheet optimization; the company has guided for continued NIM expansion with Q2 margin reaching 3.72% [1]. R&amp;D Intensity (0/1): Banking industry R&amp;D spending is minimal; no evidence of above-average technology investment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Citizens Business Bank's purpose — 'creating banking relationships by focusing on our customers and helping them achieve more for their business, their employees, and the communities they serve' since 1974 — is clear and community-focused but generic for a regional bank, interchangeable with most community banking institutions [3]. Community Impact (1/2): The bank's 75+ banking centers serve businesses and communities across California. Its focus on small business and agribusiness lending contributes to local economic development. The Heritage Commerce acquisition extends community banking services into the Bay Area [1]. Employee Retention (1/2): CEO David Brager was promoted from within in 2020 after 35+ years of banking experience, and President Brian Mauntel brings 29+ years of banking leadership [2]. The internal promotion pattern and stable management team with multi-decade tenures suggest adequate organizational trust. Insider Buying (0/2): No specific insider buying data found in research; no evidence of meaningful net insider purchases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Q2 2026 delivered $48.3M net earnings — the 197th consecutive quarter of profitability — with net interest margin expanding to 3.72% from 3.31% a year ago [1]. Net interest income surged 45.5% YoY to $162.4M, largely driven by the Heritage Commerce acquisition (74 days included in Q2). Profit margin of 40.6% is exceptional for a regional bank. D/E of 22% reflects a conservatively leveraged balance sheet. ROE of 9.28% is decent but below the 15% target. Forward P/E of approximately 12-14x is attractive. The dividend of $0.80/year (4.08% yield) has been paid since 1993 (33+ consecutive years) but shows minimal growth — 5yr CAGR of 2.13% with only 2 increases in 5 years. Scoring: D/E 22% (1.0, 1x), ROE 9.28% (0.62, 1x), Rev YoY ~30% (1.0, 1x), Rev 5yr CAGR ~8% (0.87, 1x), Fwd P/E ~13 (1.0, 1x), Profit Margin 40.6% (1.0, 1x), Payout Ratio ~60% (0.67, 1x), Consec Yrs Paid 33 (1.0, 2x), Consec Yrs Growth 2 (0.20, 1x), 5yr Div Growth 2.13% (0.36, 2x). Weighted sum 8.88/12 = 7.4, rounds to 7. Liquidity: $19.61 x ~600,000 avg volume = ~$11.8M, above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CVB Financial plays a steady, long-term game — 50+ years of community banking since 1974 with 197 consecutive quarters of profitability and a patient, strategic acquisition approach. The Heritage Commerce deal demonstrates strategic patience and long-term capability building rather than quarterly earnings optimization. CEO David Brager's internal promotion and 35+ years of banking experience reflect organizational continuity. However, the flat dividend, lack of organic innovation, and absence of a distinctive purpose beyond generic community banking limit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Citizens Business Bank's purpose — serving businesses and communities across California since 1974 — is genuine and has been validated by 50+ years of consistent execution and 197 consecutive quarters of profitability, a remarkable achievement demonstrating a company truly built to endure [1][3]. The 50-year track record of never posting a quarterly loss proves the cause is more than words — it shapes operational discipline and risk management. However, the mission statement itself is generic (interchangeable with other community banks) and does not articulate a forward-looking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David Brager was promoted internally in 2020 after 35+ years of banking experience, and President Brian Mauntel brings 29+ years of leadership — the internal promotion pattern and long executive tenures suggest stable, trust-based organizational culture [2]. The Heritage Commerce integration adds complexity to organizational trust, but the bank's 50+ year history of stable operations and profitability continuity indicates adequate organizational health. No specific employee satisfaction or turnover data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in public materials of CVB Financial acknowledging competitors' strengths or framing competition as motivation for self-improvement. The bank operates in a relatively protected community banking niche without extensive competitive commentary. The Heritage Commerce acquisition could be viewed as recognizing a rival's Bay Area market strength, but no management language explicitly adopts a learning-oriented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Heritage Commerce acquisition is the most transformative strategic move in the company's recent history — expanding from $15.5B to $21.2B in total assets, entering the Bay Area market, and crossing the regulatory threshold of $20B in assets [1]. The company has evolved from a Southern/Central California community bank to one of the 10 largest in the state through strategic M&amp;A. This represents meaningful, incremental strategic evolution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Completing the Heritage Commerce acquisition — CVB Financial's largest ever by asset size — during a period of banking sector uncertainty (post-SVB, evolving rate environment) demonstrates willingness to make long-term strategic bets [1]. Crossing the $20B asset threshold triggers enhanced regulatory scrutiny under Dodd-Frank, which the bank accepted as a cost of growth. The company has maintained its conservative community banking model through multiple economic cycles. However, the flat dividend despite 197 consecutive quarters of profitability suggests overly cautious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CVB Financial Corp. is a well-run California community bank trading at approximately 14.6x trailing earnings with a 4.08% dividend yield and exceptional 40.6% profit margin [1][4]. The Heritage Commerce Corp acquisition closed April 17, 2026, transforming Citizens Business Bank into one of the 10 largest California-headquartered bank holding companies with $21.2B in total assets [1]. Q2 2026 demonstrated immediate accretion — net interest income surged 45.5% YoY to $162.4M, net interest margin expanded to 3.72% (from 3.31% a year ago), and loan originations rose 85% with average yields of approximately 6% [1]. The 197 consecutive quarters of profitability (nearly 50 years) is one of the longest streaks in U.S. banking, demonstrating exceptional risk management discipline. Forbes recognized Citizens Business Bank as a Best Bank in America for 2026. At $3.92B market cap with $21.2B in assets, the stock trades at approximately 0.19x assets — attractive for a franchise of this quality.</w:t>
      </w:r>
    </w:p>
    <w:p>
      <w:pPr>
        <w:spacing w:after="120"/>
      </w:pPr>
      <w:r>
        <w:rPr>
          <w:rFonts w:ascii="Calibri" w:hAnsi="Calibri"/>
          <w:b w:val="0"/>
          <w:color w:val="3A4A28"/>
          <w:sz w:val="20"/>
        </w:rPr>
        <w:t>The bear case centers on stagnant organic growth and a flat dividend that underserves income investors. Pre-Heritage, revenue declined from $552.8M in 2022 to $515.5M in 2025, reflecting net interest margin compression in the post-rate-hike environment [4]. The Heritage deal inflates 2026 revenue growth to approximately 30% YoY, masking the flat organic trajectory. ROE of 9.28% is below the 15% target expected of well-run banks. The quarterly dividend has been frozen at $0.20 for years, yielding a 5-year dividend growth CAGR of only 2.13% despite consistent profitability — a red flag for dividend growth investors [4]. Heritage integration carries execution risk including potential loan portfolio quality issues, Bay Area commercial real estate exposure, and customer attrition during system conversions. The &gt;$20B asset threshold triggers enhanced Dodd-Frank regulatory scrutiny and compliance costs. California commercial real estate concentration creates regional vulnerability if CRE values decline or vacancy rates increase in the bank's core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Heritage Commerce integration driving NII growth, NIM expansion to 3.72%+, and Bay Area market penetration — with loan originations up 85% and strong pipeline yields of approximately 6% [1]</w:t>
      </w:r>
    </w:p>
    <w:p>
      <w:pPr>
        <w:spacing w:before="40" w:after="40"/>
        <w:ind w:left="283"/>
      </w:pPr>
      <w:r>
        <w:rPr>
          <w:rFonts w:ascii="Calibri" w:hAnsi="Calibri"/>
          <w:b/>
          <w:color w:val="4A6B25"/>
          <w:sz w:val="20"/>
        </w:rPr>
        <w:t xml:space="preserve">2. </w:t>
      </w:r>
      <w:r>
        <w:rPr>
          <w:rFonts w:ascii="Calibri" w:hAnsi="Calibri"/>
          <w:b w:val="0"/>
          <w:color w:val="3A4A28"/>
          <w:sz w:val="20"/>
        </w:rPr>
        <w:t>Potential dividend increase following Heritage integration completion — the 4.08% yield and 60% payout ratio leave room for growth if earnings accretion materializes as expected [1]</w:t>
      </w:r>
    </w:p>
    <w:p>
      <w:pPr>
        <w:spacing w:before="40" w:after="40"/>
        <w:ind w:left="283"/>
      </w:pPr>
      <w:r>
        <w:rPr>
          <w:rFonts w:ascii="Calibri" w:hAnsi="Calibri"/>
          <w:b/>
          <w:color w:val="4A6B25"/>
          <w:sz w:val="20"/>
        </w:rPr>
        <w:t xml:space="preserve">3. </w:t>
      </w:r>
      <w:r>
        <w:rPr>
          <w:rFonts w:ascii="Calibri" w:hAnsi="Calibri"/>
          <w:b w:val="0"/>
          <w:color w:val="3A4A28"/>
          <w:sz w:val="20"/>
        </w:rPr>
        <w:t>Net interest margin tailwind from rate environment stabilization and Heritage loan portfolio repricing, potentially driving continued NIM expansion above the 3.72% Q2 level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Heritage Commerce integration execution risk — the largest acquisition in CVBF history could face loan quality issues, Bay Area CRE exposure, customer attrition, and technology integration challenges [1]</w:t>
      </w:r>
    </w:p>
    <w:p>
      <w:pPr>
        <w:spacing w:before="40" w:after="40"/>
        <w:ind w:left="283"/>
      </w:pPr>
      <w:r>
        <w:rPr>
          <w:rFonts w:ascii="Calibri" w:hAnsi="Calibri"/>
          <w:b/>
          <w:color w:val="4A6B25"/>
          <w:sz w:val="20"/>
        </w:rPr>
        <w:t xml:space="preserve">2. </w:t>
      </w:r>
      <w:r>
        <w:rPr>
          <w:rFonts w:ascii="Calibri" w:hAnsi="Calibri"/>
          <w:b w:val="0"/>
          <w:color w:val="3A4A28"/>
          <w:sz w:val="20"/>
        </w:rPr>
        <w:t>Stagnant dividend growth — the quarterly dividend frozen at $0.20 for years despite 197 consecutive quarters of profitability suggests capital allocation misalignment with shareholder expectations [4]</w:t>
      </w:r>
    </w:p>
    <w:p>
      <w:pPr>
        <w:spacing w:before="40" w:after="40"/>
        <w:ind w:left="283"/>
      </w:pPr>
      <w:r>
        <w:rPr>
          <w:rFonts w:ascii="Calibri" w:hAnsi="Calibri"/>
          <w:b/>
          <w:color w:val="4A6B25"/>
          <w:sz w:val="20"/>
        </w:rPr>
        <w:t xml:space="preserve">3. </w:t>
      </w:r>
      <w:r>
        <w:rPr>
          <w:rFonts w:ascii="Calibri" w:hAnsi="Calibri"/>
          <w:b w:val="0"/>
          <w:color w:val="3A4A28"/>
          <w:sz w:val="20"/>
        </w:rPr>
        <w:t>Enhanced Dodd-Frank regulatory scrutiny at &gt;$20B in assets increases compliance costs and operational burden, potentially offsetting Heritage acquisition synergies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Community banking is substantially protected from AI disruption — Citizens Business Bank's core business of relationship-based commercial lending, agribusiness finance, and small business banking requires local market knowledge, face-to-face relationship management, and regulatory compliance that AI cannot easily replicate [3]. The Heritage Commerce acquisition and 75+ physical banking centers create a distribution and relationship moat. Banking licenses, FDIC insurance, capital requirements, and state regulatory oversight provide significant structural barriers to AI-native competitors. However, AI-powered fintech lenders and digital banks could gradually erode commodity banking products like consumer deposits and standardized small business loans. AI Opportunity (0/1): No evidence of AI-generated revenue. The bank has not disclosed AI-powered products, AI-driven efficiency gains, or any quantifiable AI revenue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CVB Financial Corp. Q2 2026 Earnings Release — $48.3M net earnings, 197th consecutive profitable quarter, NII $162.4M (+45.5% YoY), NIM 3.72%, July 22, 2026</w:t>
      </w:r>
    </w:p>
    <w:p>
      <w:pPr>
        <w:spacing w:before="20" w:after="20"/>
        <w:ind w:left="170"/>
      </w:pPr>
      <w:r>
        <w:rPr>
          <w:rFonts w:ascii="Calibri" w:hAnsi="Calibri"/>
          <w:b/>
          <w:color w:val="4A6B25"/>
          <w:sz w:val="15"/>
        </w:rPr>
        <w:t xml:space="preserve">2. </w:t>
      </w:r>
      <w:r>
        <w:rPr>
          <w:rFonts w:ascii="Calibri" w:hAnsi="Calibri"/>
          <w:b w:val="0"/>
          <w:color w:val="3A4A28"/>
          <w:sz w:val="17"/>
        </w:rPr>
        <w:t>CVB Financial Corp. Officers &amp; Directors, Leadership Team — CEO David Brager, President Brian Mauntel,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Citizens Business Bank corporate website — community banking mission since 1974, 75+ banking centers,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CNBC — CVBF stock price $19.61, P/E 14.63, D/E 22%, dividend yield 4.08%, market cap $3.92B,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