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CVE</w:t>
      </w:r>
      <w:r>
        <w:rPr>
          <w:rFonts w:ascii="Calibri" w:hAnsi="Calibri"/>
          <w:b/>
          <w:color w:val="1A2010"/>
          <w:sz w:val="40"/>
        </w:rPr>
        <w:t xml:space="preserve">  Cenovus Energy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Canada</w:t>
      </w:r>
    </w:p>
    <w:p>
      <w:pPr>
        <w:spacing w:after="80"/>
      </w:pPr>
      <w:r>
        <w:rPr>
          <w:rFonts w:ascii="Calibri" w:hAnsi="Calibri"/>
          <w:b w:val="0"/>
          <w:color w:val="3A4A28"/>
          <w:sz w:val="20"/>
        </w:rPr>
        <w:t>Cenovus Energy Inc. is an integrated Canadian oil and natural gas company with operations spanning upstream production in Western Canada and offshore Newfoundland, downstream refining in both Canada and the United States, and natural gas production offshore China. Cenovus posted its strongest quarter to date in Q2 2026 with $2.9 billion net earnings, $5.0 billion adjusted funds flow, and record Oil Sands production of 786.4 MBOE/d, prompting an increase to full-year 2026 production guidance.</w:t>
      </w:r>
    </w:p>
    <w:p>
      <w:r>
        <w:rPr>
          <w:rFonts w:ascii="Calibri" w:hAnsi="Calibri"/>
          <w:b/>
          <w:color w:val="6E8450"/>
          <w:sz w:val="18"/>
        </w:rPr>
        <w:t>7,211 Employees · https://www.cenovus.com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2021 Husky Energy merger remains the company's transformative event, creating an integrated upstream-downstream model with natural commodity hedging, but no new significant launches, business-model innovations, or market-defining pivots have occurred in the 5 years since [1][2]. AI Deployment (0/2): No specific AI-powered products or quantified AI-driven cost savings were identified; the company's internal Innovation Summit brings together roughly 2,000 employees on technology topics but has not produced disclosed AI deployment results [3]. Market Share (1/2): Cenovus is one of Canada's largest integrated energy producers, reporting record Oil Sands production of 786.4 MBOE/d in Q2 2026, but operates in a commodity market with minimal structural differentiation [1]. Product Pipeline (2/2): Management raised full-year 2026 production guidance to 970,000-1,010,000 BOE/d with capital investment guidance held at $5.0-5.3 billion and lowered unit-cost guidance across Oil Sands, Conventional, Asia Pacific, and Canadian Refining — specific, quantified operational visibility [1]. R&amp;D Intensity (1/1): CEO McKenzie has publicly tied cost-competitiveness ('producing a barrel of oil for similar costs as 5-10 years ago') directly to sustained innovation investment, above-average commitment for the integrated oil and gas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Cenovus's purpose of 'fueling the future' by developing energy resources safely, responsibly, and efficiently is clear and relevant but generic — most integrated energy companies use nearly identical language [4]. Community Impact (1/2): Cenovus maintains an 80% absolute methane emissions reduction target by 2028 (from a 2019 baseline), a net-zero-by-2050 ambition, and specific Indigenous engagement programs across Western Canadian operations [4][5]. Employee Retention (1/2): The culture is described as professional, collaborative, and performance-driven with roughly 7,211 employees and an emphasis on safety and innovation, but no specific retention or tenure metrics were identified [3]. Insider Buying (0/2): CEO Jon McKenzie continued a pattern of net selling in 2026 — a 30,186-share option exercise/disposition in March (~$1.15M), a 60,000-share sale in May, and a 69,387-share sale later in May (~CA$2.74M) — extending a 5-year record of 245 sells against only 17 buys; a separate EVP &amp; COO purchase (~CA$2.1M) does not offset the CEO-level selling pattern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growth-sleeve formula (PEG unavailable/excluded) since CVE's dividend yield has compressed to 1.92% — below the 2% threshold for dividend-sleeve classification — as the stock price has appreciated. D/E of 34% and Forward P/E of 10.95 both score at or near the maximum after capping, and ROE of 20.93% clears the 15% target comfortably (2x weight). Profit margin of 12.37% scores moderately against the 20% target. Revenue growth is the main drag: TTM revenue growth of 3.08% (recovering from FY2025's -8.44% decline) and an estimated 5yr CAGR of ~3.3% both score below 1.0 against the 10% target, with the 5yr figure carrying 2x weight. The stock clears the liquidity floor easily at ~$215M in daily dollar volume (6.94M shares x $31.01).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Cenovus plays a moderately finite game typical of an integrated oil sands producer. Record Q2 2026 results and raised production guidance reflect strong operational execution, and the Husky-driven integrated model provides genuine commodity-cycle resilience, but the company's core purpose statement remains generic industry language rather than a differentiated Just Cause, and CEO McKenzie's continued heavy net insider selling (245 sells vs. 17 buys over 5 years) is inconsistent with the kind of personal long-term conviction Sinek associates with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'Fueling the future' attempts to bridge fossil fuel extraction with energy-transition aspirations but reads as corporate positioning rather than a genuine, distinctive Just Cause [4]. The statement describes the current business rather than an idealistic future state, and nearly every integrated energy peer uses comparable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Cenovus's culture is described as professional, collaborative, and safety-focused, and the roughly 2,000-employee Innovation Summit signals cross-organizational engagement on technology and cost innovation [3]. Board diversity targets add governance credibility, but no specific retention, tenure, or trust metrics were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Cenovus's public commentary centers on operational execution, cost leadership, and shareholder returns rather than acknowledging specific competitors' strengths or framing rivalry as a source of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Husky merger remains the company's one meaningful strategic transformation, converting Cenovus from a pure upstream producer into an integrated model with refining diversification [1][2]. No further transformative pivot has occurred since, and the emissions targets represent incremental adaptation rather than a business-model-level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Husky Energy acquisition remains a genuinely courageous long-term bet made during pandemic-era uncertainty, and the 80% methane-reduction-by-2028 and net-zero-by-2050 targets represent real cost commitments [1][2][4]. However, these targets are now largely standard across Canadian oil sands peers, and management's 2026 focus has centered on operational execution and shareholder returns ($8.6 billion TTM cash returned) rather than new principled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Cenovus delivered its strongest quarter to date in Q2 2026 — $2.9 billion net earnings, $5.0 billion adjusted funds flow, and $3.8 billion free funds flow on record Oil Sands production of 786.4 MBOE/d — prompting management to raise full-year 2026 production guidance to 970,000-1,010,000 BOE/d while lowering unit-cost guidance across every major segment [1]. The integrated upstream-downstream model provides natural hedging against commodity volatility, D/E of 34% and ROE of 20.93% reflect balance sheet strength and capital efficiency well above sector norms, and Forward P/E of 10.95x represents a meaningful discount to the broader market. Trailing-twelve-month cash returns to shareholders of $8.6 billion demonstrate substantial capital return capacity even while funding a $5.0-5.3 billion capital program [1].</w:t>
      </w:r>
    </w:p>
    <w:p>
      <w:pPr>
        <w:spacing w:after="120"/>
      </w:pPr>
      <w:r>
        <w:rPr>
          <w:rFonts w:ascii="Calibri" w:hAnsi="Calibri"/>
          <w:b w:val="0"/>
          <w:color w:val="3A4A28"/>
          <w:sz w:val="20"/>
        </w:rPr>
        <w:t>The bear case centers on commodity dependence and a still-generic strategic identity. Despite record Q2 2026 results, TTM revenue growth of just 3.08% (recovering from FY2025's -8.44% decline) shows earnings remain tightly correlated to crude prices and refining spreads, and the dividend yield has compressed to 1.92% as the stock has re-rated higher [1][7]. CEO Jon McKenzie's insider activity remains a persistent overhang — three separate 2026 sales (March, and twice in May) extending a 5-year pattern of 245 sells against only 17 buys — offering no personal-conviction signal to offset the operational story [6]. Canadian federal carbon pricing and oil sands emissions policy remain a multi-year cost risk, and the company's mission language has not translated into a differentiated competitive narrative versus integrated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execution against raised 2026 production guidance (970,000-1,010,000 BOE/d) and lowered unit-cost targets across Oil Sands, Conventional, Asia Pacific, and Canadian Refining segments</w:t>
      </w:r>
    </w:p>
    <w:p>
      <w:pPr>
        <w:spacing w:before="40" w:after="40"/>
        <w:ind w:left="283"/>
      </w:pPr>
      <w:r>
        <w:rPr>
          <w:rFonts w:ascii="Calibri" w:hAnsi="Calibri"/>
          <w:b/>
          <w:color w:val="4A6B25"/>
          <w:sz w:val="20"/>
        </w:rPr>
        <w:t xml:space="preserve">2. </w:t>
      </w:r>
      <w:r>
        <w:rPr>
          <w:rFonts w:ascii="Calibri" w:hAnsi="Calibri"/>
          <w:b w:val="0"/>
          <w:color w:val="3A4A28"/>
          <w:sz w:val="20"/>
        </w:rPr>
        <w:t>Continued strength at Christina Lake, Foster Creek, and Sunrise oil sands assets driving further per-barrel cost efficiency gains even in a moderate commodity price environment</w:t>
      </w:r>
    </w:p>
    <w:p>
      <w:pPr>
        <w:spacing w:before="40" w:after="40"/>
        <w:ind w:left="283"/>
      </w:pPr>
      <w:r>
        <w:rPr>
          <w:rFonts w:ascii="Calibri" w:hAnsi="Calibri"/>
          <w:b/>
          <w:color w:val="4A6B25"/>
          <w:sz w:val="20"/>
        </w:rPr>
        <w:t xml:space="preserve">3. </w:t>
      </w:r>
      <w:r>
        <w:rPr>
          <w:rFonts w:ascii="Calibri" w:hAnsi="Calibri"/>
          <w:b w:val="0"/>
          <w:color w:val="3A4A28"/>
          <w:sz w:val="20"/>
        </w:rPr>
        <w:t>Trans Mountain Pipeline takeaway capacity supporting improved heavy crude price realizations relative to WTI benchmarks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crude price decline compressing upstream margins and free funds flow below the level needed to sustain the current shareholder return pace ($8.6B TTM)</w:t>
      </w:r>
    </w:p>
    <w:p>
      <w:pPr>
        <w:spacing w:before="40" w:after="40"/>
        <w:ind w:left="283"/>
      </w:pPr>
      <w:r>
        <w:rPr>
          <w:rFonts w:ascii="Calibri" w:hAnsi="Calibri"/>
          <w:b/>
          <w:color w:val="4A6B25"/>
          <w:sz w:val="20"/>
        </w:rPr>
        <w:t xml:space="preserve">2. </w:t>
      </w:r>
      <w:r>
        <w:rPr>
          <w:rFonts w:ascii="Calibri" w:hAnsi="Calibri"/>
          <w:b w:val="0"/>
          <w:color w:val="3A4A28"/>
          <w:sz w:val="20"/>
        </w:rPr>
        <w:t>Canadian federal carbon pricing and oil sands emissions-cap policy increasing per-barrel production costs and eroding heavy oil competitiveness over a multi-year horizon</w:t>
      </w:r>
    </w:p>
    <w:p>
      <w:pPr>
        <w:spacing w:before="40" w:after="40"/>
        <w:ind w:left="283"/>
      </w:pPr>
      <w:r>
        <w:rPr>
          <w:rFonts w:ascii="Calibri" w:hAnsi="Calibri"/>
          <w:b/>
          <w:color w:val="4A6B25"/>
          <w:sz w:val="20"/>
        </w:rPr>
        <w:t xml:space="preserve">3. </w:t>
      </w:r>
      <w:r>
        <w:rPr>
          <w:rFonts w:ascii="Calibri" w:hAnsi="Calibri"/>
          <w:b w:val="0"/>
          <w:color w:val="3A4A28"/>
          <w:sz w:val="20"/>
        </w:rPr>
        <w:t>CEO McKenzie's persistent net insider selling (245 sells vs. 17 buys over 5 years, three further sales in 2026) offering no conviction signal even as operational results improve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refining, and integrated downstream operations are physical-world businesses that AI structurally cannot displace — Cenovus's oil sands production, refinery operations at Toledo and Lima, and offshore Newfoundland/China assets require capital-intensive infrastructure, geological expertise, and regulatory compliance with no path to AI substitution [1]. AI is a demand tailwind rather than a threat: surging data center electricity demand from AI training and inference increases downstream demand for natural gas and refined fuels [2]. The only meaningful long-term risk is AI-optimized energy efficiency or an accelerated renewables transition reducing fossil fuel demand over a multi-decade horizon. AI Opportunity (0/1): Cenovus does not generate revenue from AI products or services; any internal AI/technology use supports operational optimization rather than a monetized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Cenovus Energy Q2 2026 Results — Record Cash Flow, Raised Production Guidance — BNN Bloomberg, TipRanks, StockTitan, July-August 2026</w:t>
      </w:r>
    </w:p>
    <w:p>
      <w:pPr>
        <w:spacing w:before="20" w:after="20"/>
        <w:ind w:left="170"/>
      </w:pPr>
      <w:r>
        <w:rPr>
          <w:rFonts w:ascii="Calibri" w:hAnsi="Calibri"/>
          <w:b/>
          <w:color w:val="4A6B25"/>
          <w:sz w:val="15"/>
        </w:rPr>
        <w:t xml:space="preserve">2. </w:t>
      </w:r>
      <w:r>
        <w:rPr>
          <w:rFonts w:ascii="Calibri" w:hAnsi="Calibri"/>
          <w:b w:val="0"/>
          <w:color w:val="3A4A28"/>
          <w:sz w:val="17"/>
        </w:rPr>
        <w:t>Cenovus Energy Corporate History — Husky Energy Merger and Integration, 2021-2026</w:t>
      </w:r>
    </w:p>
    <w:p>
      <w:pPr>
        <w:spacing w:before="20" w:after="20"/>
        <w:ind w:left="170"/>
      </w:pPr>
      <w:r>
        <w:rPr>
          <w:rFonts w:ascii="Calibri" w:hAnsi="Calibri"/>
          <w:b/>
          <w:color w:val="4A6B25"/>
          <w:sz w:val="15"/>
        </w:rPr>
        <w:t xml:space="preserve">3. </w:t>
      </w:r>
      <w:r>
        <w:rPr>
          <w:rFonts w:ascii="Calibri" w:hAnsi="Calibri"/>
          <w:b w:val="0"/>
          <w:color w:val="3A4A28"/>
          <w:sz w:val="17"/>
        </w:rPr>
        <w:t>Cenovus Energy Corporate Website — Innovation Summit, Leadership Team, and Culture; CEO Jon McKenzie commentary</w:t>
      </w:r>
    </w:p>
    <w:p>
      <w:pPr>
        <w:spacing w:before="20" w:after="20"/>
        <w:ind w:left="170"/>
      </w:pPr>
      <w:r>
        <w:rPr>
          <w:rFonts w:ascii="Calibri" w:hAnsi="Calibri"/>
          <w:b/>
          <w:color w:val="4A6B25"/>
          <w:sz w:val="15"/>
        </w:rPr>
        <w:t xml:space="preserve">4. </w:t>
      </w:r>
      <w:r>
        <w:rPr>
          <w:rFonts w:ascii="Calibri" w:hAnsi="Calibri"/>
          <w:b w:val="0"/>
          <w:color w:val="3A4A28"/>
          <w:sz w:val="17"/>
        </w:rPr>
        <w:t>Cenovus Energy Corporate Website — Mission, Fueling the Future, and ESG Focus Areas; ESG Report — Methane Reduction Targets, Net-Zero Ambition</w:t>
      </w:r>
    </w:p>
    <w:p>
      <w:pPr>
        <w:spacing w:before="20" w:after="20"/>
        <w:ind w:left="170"/>
      </w:pPr>
      <w:r>
        <w:rPr>
          <w:rFonts w:ascii="Calibri" w:hAnsi="Calibri"/>
          <w:b/>
          <w:color w:val="4A6B25"/>
          <w:sz w:val="15"/>
        </w:rPr>
        <w:t xml:space="preserve">5. </w:t>
      </w:r>
      <w:r>
        <w:rPr>
          <w:rFonts w:ascii="Calibri" w:hAnsi="Calibri"/>
          <w:b w:val="0"/>
          <w:color w:val="3A4A28"/>
          <w:sz w:val="17"/>
        </w:rPr>
        <w:t>Cenovus Energy ESG Report — Methane Reduction Targets, Board Diversity</w:t>
      </w:r>
    </w:p>
    <w:p>
      <w:pPr>
        <w:spacing w:before="20" w:after="20"/>
        <w:ind w:left="170"/>
      </w:pPr>
      <w:r>
        <w:rPr>
          <w:rFonts w:ascii="Calibri" w:hAnsi="Calibri"/>
          <w:b/>
          <w:color w:val="4A6B25"/>
          <w:sz w:val="15"/>
        </w:rPr>
        <w:t xml:space="preserve">6. </w:t>
      </w:r>
      <w:r>
        <w:rPr>
          <w:rFonts w:ascii="Calibri" w:hAnsi="Calibri"/>
          <w:b w:val="0"/>
          <w:color w:val="3A4A28"/>
          <w:sz w:val="17"/>
        </w:rPr>
        <w:t>GuruFocus / MarketBeat / Simply Wall St / Daily Political — Jonathan McKenzie Insider Trading Activity,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CVE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