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CVS</w:t>
      </w:r>
      <w:r>
        <w:rPr>
          <w:rFonts w:ascii="Calibri" w:hAnsi="Calibri"/>
          <w:b/>
          <w:color w:val="1A2010"/>
          <w:sz w:val="40"/>
        </w:rPr>
        <w:t xml:space="preserve">  CVS Health Corporation</w:t>
      </w:r>
    </w:p>
    <w:p>
      <w:pPr>
        <w:spacing w:after="120"/>
      </w:pPr>
      <w:r>
        <w:rPr>
          <w:rFonts w:ascii="Calibri" w:hAnsi="Calibri"/>
          <w:b/>
          <w:color w:val="6E8450"/>
          <w:sz w:val="18"/>
        </w:rPr>
        <w:t>DIVIDEND SLEEVE · 2026-08-17 · Inspire: -83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Healthcare Plans · NYSE · United States</w:t>
      </w:r>
    </w:p>
    <w:p>
      <w:pPr>
        <w:spacing w:after="80"/>
      </w:pPr>
      <w:r>
        <w:rPr>
          <w:rFonts w:ascii="Calibri" w:hAnsi="Calibri"/>
          <w:b w:val="0"/>
          <w:color w:val="3A4A28"/>
          <w:sz w:val="20"/>
        </w:rPr>
        <w:t>CVS Health is an integrated healthcare company operating through Health Care Benefits (Aetna, top-3 U.S. insurer), Health Services (Caremark PBM, #1 or #2 by market share), and Pharmacy &amp; Consumer Wellness (largest U.S. pharmacy chain by store count). Q2 2026 total revenue was $106.1B (+7.3% YoY) with adjusted EPS of $2.58 (+42.5%). CEO David Joyner was named Board Chair in January 2026 after becoming CEO in October 2024. The company is executing a $20B tech modernization plan. Market cap of $124.3B. Headquartered in Woonsocket, Rhode Island.</w:t>
      </w:r>
    </w:p>
    <w:p>
      <w:r>
        <w:rPr>
          <w:rFonts w:ascii="Calibri" w:hAnsi="Calibri"/>
          <w:b/>
          <w:color w:val="6E8450"/>
          <w:sz w:val="18"/>
        </w:rPr>
        <w:t>300,000 Employees · https://www.cvshealth.com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CVS Health has pursued transformative acquisitions — the $70B Aetna deal (2018) and Oak Street Health ($10.6B, 2023) — but execution has been uneven, with Aetna's medical benefit ratio spiking in 2024 before recovering in 2026 [1]. The Rite Aid pharmacy acquisition added scale but the overall business has seen significant leadership churn (four CEOs in five years before Joyner stabilized the helm). Q2 2026 adjusted operating income grew 35.4% to $5.2B, showing turnaround momentum. AI Deployment (1/2): CVS has deployed AI with measurable results — AI tools support Aetna nurses, returning approximately 90 minutes per day to focus on closing care gaps, and call center AI handles complex calls 20-30% faster [2]. Ali Keshavarz serves as Chief Data &amp; AI Officer. However, AI products are not directly generating revenue for external customers. Market Share (2/2): CVS operates the largest U.S. pharmacy chain by store count (~9,000 locations), Caremark is the #1 or #2 PBM by prescription volume, and Aetna is a top-3 U.S. health insurer [1]. This integrated pharmacy-PBM-insurer position is unique in healthcare. Product Pipeline (1/2): The $20B tech modernization plan announced June 2025 includes AI virtual care managers and agentic AI for clinical workflows; Aetna margin recovery targeting further MBR improvement; Rite Aid integration ongoing [2]. R&amp;D Intensity (0/1): Healthcare services companies have inherently low R&amp;D spend. CVS's technology investment is substantial ($20B plan) but oriented toward operational modernization rather than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CVS Health's 'Heart at Work' purpose and mission to 'bring our heart to every moment of your health' is clear and healthcare-specific, connecting the company's work to patient outcomes [3]. It differentiates from pure financial services missions but is not deeply distinctive from other integrated health companies. The decision to stop selling tobacco in 2014 was a notable values-driven decision that sacrificed $2B in annual revenue. Community Impact (1/2): CVS operates MinuteClinic and HealthHUB locations providing accessible healthcare in underserved communities. The company committed $5B over 10 years in opioid settlement payments, reflecting responsibility for its role in the crisis [3]. However, the opioid settlement itself was required by litigation rather than voluntary giving. Employee Retention (0/2): CVS faces significant frontline workforce challenges — Glassdoor reviews cite change fatigue, metrics-driven pressure, store closures, and morale challenges [2]. Frequent organizational restructuring and four CEO changes in five years prior to Joyner create instability. High pharmacy technician turnover is an industry-wide challenge that CVS has not materially solved.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dividend metrics. D/E of 96% scores 0.89, moderately above the 70% target but manageable for a company generating $11.5B+ in annual operating cash flow [1]. Forward P/E of 11.92 is deeply discounted, scoring 1.0. ROE of 6.21% is weak (scoring 0.41), reflecting the margin compression from Aetna's MBR challenges and $62.4B in goodwill from the Aetna acquisition. Revenue growth of 7.3% YoY to $106.1B in Q2 scores 0.91 [1]. 5-year revenue CAGR of ~8.1% scores 0.87. Profit margin of 1.19% is very low (scoring 0.06), the primary infrastructure weakness — healthcare services operate on thin net margins. Dividend metrics: 25+ consecutive years of payments (scoring 1.0 at 2x weight); payout ratio of 69.7% (scoring 0.51); consecutive years of growth = 0 (flat at $2.66 in 2024-2025, scoring 0); 5-year dividend growth CAGR of 5.87% (scoring 0.98 at 2x weight) [4]. Daily dollar volume of ~$794M provides excellent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CVS Health's leadership instability — four CEOs in five years before David Joyner — is antithetical to Sinek's infinite game framework, which prizes consistency of purpose over time. The company's strategic direction has whipsawed from pharmacy retail to integrated healthcare to aggressive M&amp;A to cost-cutting and back to growth, suggesting reactive management rather than purpose-driven leadership. Joyner's consolidation of CEO and Chair roles signals stability but is too recent to be validated. The opioid litigation overhang and frontline workforce challenges suggest a company managing short-term crises rather than building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CVS Health's 'Heart at Work' purpose exists but reads as marketing rather than a deeply held cause that shapes strategic decisions [3]. The 2014 decision to stop selling tobacco ($2B revenue sacrifice) was a genuine values-driven decision, but subsequent actions — aggressive M&amp;A, CEO churn, store closures, and metrics-driven pressure — suggest the purpose is aspirational rather than consistently lived. The opioid crisis involvement (which led to a $5B settlement) further undermines the credibility of a healthcare-first mission.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CVS faces significant trust challenges at the frontline level. Glassdoor reviews consistently cite change fatigue from frequent organizational restructuring, metrics-driven pressure, micromanagement, and morale challenges from store closures [2]. Four CEO changes in five years (2020-2024) created leadership instability that undermines organizational trust. Pharmacy technician turnover remains elevated industry-wide, and CVS's scale amplifies these challenges across ~300,000 employees and ~9,000 locations.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CVS Health's competitive language focuses on market position — 'largest pharmacy chain,' 'leading PBM,' 'top-3 insurer' — a finite framing about size and ranking rather than learning from competitors [1]. Management does not publicly reference what UnitedHealth Group, Amazon Pharmacy, or Mark Cuban's Cost Plus Drugs do better. The response to competitive pressure (Rite Aid acquisition, cost-cutting) is defensive rather than introspective.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$70B Aetna acquisition (2018) was a transformative pivot from pharmacy retailer to integrated healthcare company — one of the boldest strategic bets in healthcare history [1]. The subsequent Oak Street Health acquisition ($10.6B) extended the strategy into value-based primary care. The $20B tech modernization plan represents another strategic pivot toward digital-first healthcare. However, execution has been uneven (Aetna MBR spike, CEO churn), and the company has not yet proven it can successfully operate this integrated model at the level the strategy demands.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2014 decision to stop selling tobacco at CVS Pharmacy, sacrificing $2B in annual revenue, remains one of the most courageous corporate decisions in U.S. healthcare — a genuine sacrifice of short-term earnings for long-term mission alignment [3]. The $70B Aetna acquisition and $10.6B Oak Street Health deal were bold long-term bets. However, subsequent cost-cutting cycles, leadership instability, and the opioid settlement suggest the company's courage is episodic rather than systematic. Joyner's margin recovery focus (Aetna AOI +85.5%) prioritizes financial stabilization over transformative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CVS Health at 11.92x forward earnings is a turnaround story gaining credibility — Q2 2026 adjusted EPS of $2.58 (+42.5% YoY) with full-year guidance raised to $7.90-$8.10 and cash flow guidance increased by $2B to at least $11.5B [1]. The Aetna margin recovery is the key driver: Health Care Benefits adjusted operating income surged 85.5% to $2.4B with MBR improving to 87.4%, representing $2B+ in year-over-year AOI improvement in H1 2026. Revenue of $106.1B (+7.3%) demonstrates scale, and the integrated pharmacy-PBM-insurer model (largest U.S. pharmacy, top-3 insurer, #1-2 PBM) creates a unique healthcare ecosystem [1]. CEO David Joyner has stabilized leadership after four CEO transitions in five years, consolidating CEO and Board Chair roles in January 2026. The $20B tech modernization plan with AI deployment (Aetna nurse productivity +90 min/day, call center efficiency +20-30%) provides operational leverage [2].</w:t>
      </w:r>
    </w:p>
    <w:p>
      <w:pPr>
        <w:spacing w:after="120"/>
      </w:pPr>
      <w:r>
        <w:rPr>
          <w:rFonts w:ascii="Calibri" w:hAnsi="Calibri"/>
          <w:b w:val="0"/>
          <w:color w:val="3A4A28"/>
          <w:sz w:val="20"/>
        </w:rPr>
        <w:t>The bear case centers on structural margin challenges, opioid liability, and organizational instability. Profit margin of just 1.19% is dangerously thin for a $412B revenue company — any Aetna MBR reversion, pharmacy reimbursement pressure, or PBM regulatory action could erase profitability entirely [1]. ROE of 6.21% reflects the dilutive weight of $62.4B in goodwill from the Aetna acquisition, and D/E of 96% limits financial flexibility. The $5B opioid settlement (10-year payments beginning 2023) plus new DOJ False Claims Act litigation for allegedly filling bogus opioid prescriptions create ongoing legal overhang [3]. The PBM business model faces existential regulatory risk from drug pricing transparency legislation and competitive disruption from Amazon Pharmacy, Cost Plus Drugs, and AI-powered alternatives. Consecutive years of dividend growth is 0 (flat at $2.66 since 2024), signaling management prioritizes debt reduction over dividend growth. The Inspire MISALIGNED rating (-83) with Abortifacients, Abortion Activism, and LGBT Activism attributions severely limits the faith-based institutional investor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Aetna margin recovery continuing — Health Care Benefits AOI surged 85.5% in Q2 with MBR improving to 87.4%, and $2B+ year-over-year AOI improvement in H1 2026 could sustain through 2027 if medical cost management discipline holds [1]</w:t>
      </w:r>
    </w:p>
    <w:p>
      <w:pPr>
        <w:spacing w:before="40" w:after="40"/>
        <w:ind w:left="283"/>
      </w:pPr>
      <w:r>
        <w:rPr>
          <w:rFonts w:ascii="Calibri" w:hAnsi="Calibri"/>
          <w:b/>
          <w:color w:val="4A6B25"/>
          <w:sz w:val="20"/>
        </w:rPr>
        <w:t xml:space="preserve">2. </w:t>
      </w:r>
      <w:r>
        <w:rPr>
          <w:rFonts w:ascii="Calibri" w:hAnsi="Calibri"/>
          <w:b w:val="0"/>
          <w:color w:val="3A4A28"/>
          <w:sz w:val="20"/>
        </w:rPr>
        <w:t>Full-year adjusted EPS guidance raised to $7.90-$8.10 (from $7.30-$7.50), with cash flow guidance up $2B to $11.5B+, providing visibility into debt reduction and potential dividend resumption of growth [1]</w:t>
      </w:r>
    </w:p>
    <w:p>
      <w:pPr>
        <w:spacing w:before="40" w:after="40"/>
        <w:ind w:left="283"/>
      </w:pPr>
      <w:r>
        <w:rPr>
          <w:rFonts w:ascii="Calibri" w:hAnsi="Calibri"/>
          <w:b/>
          <w:color w:val="4A6B25"/>
          <w:sz w:val="20"/>
        </w:rPr>
        <w:t xml:space="preserve">3. </w:t>
      </w:r>
      <w:r>
        <w:rPr>
          <w:rFonts w:ascii="Calibri" w:hAnsi="Calibri"/>
          <w:b w:val="0"/>
          <w:color w:val="3A4A28"/>
          <w:sz w:val="20"/>
        </w:rPr>
        <w:t>AI-driven operational efficiency from $20B tech modernization — Aetna nurse AI saving 90 min/day, call center AI 20-30% faster on complex calls — creating compounding productivity gains across the 300,000-employee workforce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 margin of 1.19% leaves zero margin of safety — any Aetna MBR deterioration, pharmacy reimbursement cuts, or PBM regulatory action could erase net income for a $412B revenue company that earned only $4.89B net [1]</w:t>
      </w:r>
    </w:p>
    <w:p>
      <w:pPr>
        <w:spacing w:before="40" w:after="40"/>
        <w:ind w:left="283"/>
      </w:pPr>
      <w:r>
        <w:rPr>
          <w:rFonts w:ascii="Calibri" w:hAnsi="Calibri"/>
          <w:b/>
          <w:color w:val="4A6B25"/>
          <w:sz w:val="20"/>
        </w:rPr>
        <w:t xml:space="preserve">2. </w:t>
      </w:r>
      <w:r>
        <w:rPr>
          <w:rFonts w:ascii="Calibri" w:hAnsi="Calibri"/>
          <w:b w:val="0"/>
          <w:color w:val="3A4A28"/>
          <w:sz w:val="20"/>
        </w:rPr>
        <w:t>Opioid litigation overhang — $5B settlement payments over 10 years plus new DOJ False Claims Act lawsuit alleging pharmacists knowingly filled bogus opioid prescriptions could result in additional multi-billion dollar liability [3]</w:t>
      </w:r>
    </w:p>
    <w:p>
      <w:pPr>
        <w:spacing w:before="40" w:after="40"/>
        <w:ind w:left="283"/>
      </w:pPr>
      <w:r>
        <w:rPr>
          <w:rFonts w:ascii="Calibri" w:hAnsi="Calibri"/>
          <w:b/>
          <w:color w:val="4A6B25"/>
          <w:sz w:val="20"/>
        </w:rPr>
        <w:t xml:space="preserve">3. </w:t>
      </w:r>
      <w:r>
        <w:rPr>
          <w:rFonts w:ascii="Calibri" w:hAnsi="Calibri"/>
          <w:b w:val="0"/>
          <w:color w:val="3A4A28"/>
          <w:sz w:val="20"/>
        </w:rPr>
        <w:t>PBM business model disruption from drug pricing transparency legislation, Amazon Pharmacy's direct-to-consumer model, and AI-powered pharmacy alternatives that could disintermediate Caremark's traditional pricing opacity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CVS Health operates across physical pharmacy dispensing, in-person clinical services, and heavily regulated insurance — all with meaningful defensive moats against AI disruption [1]. Pharmacy dispensing requires physical locations, licensed pharmacists, and controlled substance handling that AI cannot replace. Aetna's insurance business is protected by regulatory barriers, provider network contracts, and capital requirements. However, the PBM business (Caremark) faces meaningful AI disruption risk as AI-powered drug pricing transparency tools and direct manufacturer-pharmacy relationships could disintermediate traditional PBM pricing opacity [2]. Telehealth AI and AI-powered diagnostics could reduce MinuteClinic/HealthHUB visit volumes. AI Opportunity (1/1): CVS generates measurable AI-driven value — Aetna nurse AI tools save approximately 90 minutes per day for care gap closure, call center AI handles complex calls 20-30% faster, and the company invested in an AI virtual care manager startup as part of its $20B tech modernization plan [2]. Chief Data &amp; AI Officer Ali Keshavarz leads enterprise-wide AI deployment.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CVS Health Q2 2026 Earnings Release — Revenue $106.1B (+7.3%), Adjusted EPS $2.58 (+42.5%), Aetna AOI +85.5%, MBR 87.4%, Full-Year Guidance $7.90-$8.10, Cash Flow $11.5B+, August 2026</w:t>
      </w:r>
    </w:p>
    <w:p>
      <w:pPr>
        <w:spacing w:before="20" w:after="20"/>
        <w:ind w:left="170"/>
      </w:pPr>
      <w:r>
        <w:rPr>
          <w:rFonts w:ascii="Calibri" w:hAnsi="Calibri"/>
          <w:b/>
          <w:color w:val="4A6B25"/>
          <w:sz w:val="15"/>
        </w:rPr>
        <w:t xml:space="preserve">2. </w:t>
      </w:r>
      <w:r>
        <w:rPr>
          <w:rFonts w:ascii="Calibri" w:hAnsi="Calibri"/>
          <w:b w:val="0"/>
          <w:color w:val="3A4A28"/>
          <w:sz w:val="17"/>
        </w:rPr>
        <w:t>CVS Health AI Strategy and Leadership — AI Nurse Tools +90 min/day, Call Center +20-30%, $20B Tech Modernization, CEO Joyner Named Board Chair, Built In/G&amp;CO, 2025-2026</w:t>
      </w:r>
    </w:p>
    <w:p>
      <w:pPr>
        <w:spacing w:before="20" w:after="20"/>
        <w:ind w:left="170"/>
      </w:pPr>
      <w:r>
        <w:rPr>
          <w:rFonts w:ascii="Calibri" w:hAnsi="Calibri"/>
          <w:b/>
          <w:color w:val="4A6B25"/>
          <w:sz w:val="15"/>
        </w:rPr>
        <w:t xml:space="preserve">3. </w:t>
      </w:r>
      <w:r>
        <w:rPr>
          <w:rFonts w:ascii="Calibri" w:hAnsi="Calibri"/>
          <w:b w:val="0"/>
          <w:color w:val="3A4A28"/>
          <w:sz w:val="17"/>
        </w:rPr>
        <w:t>CVS Health Opioid Litigation and ESG — $5B Settlement, DOJ False Claims Act Lawsuit, Inspire Score -83, Legal Dive, 2022-2026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CVS Key Statistics: Forward P/E 11.92x, ROE 6.21%, D/E 96%, Profit Margin 1.19%, Dividend Yield 2.74%, Stock Price $97.16,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