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CWEN</w:t>
      </w:r>
      <w:r>
        <w:rPr>
          <w:rFonts w:ascii="Calibri" w:hAnsi="Calibri"/>
          <w:b/>
          <w:color w:val="1A2010"/>
          <w:sz w:val="40"/>
        </w:rPr>
        <w:t xml:space="preserve">  Clearway Energy, Inc.</w:t>
      </w:r>
    </w:p>
    <w:p>
      <w:pPr>
        <w:spacing w:after="120"/>
      </w:pPr>
      <w:r>
        <w:rPr>
          <w:rFonts w:ascii="Calibri" w:hAnsi="Calibri"/>
          <w:b/>
          <w:color w:val="6E8450"/>
          <w:sz w:val="18"/>
        </w:rPr>
        <w:t>DIVIDEND SLEEVE · 2026-08-08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Renewable Electricity · NYSE · United States</w:t>
      </w:r>
    </w:p>
    <w:p>
      <w:pPr>
        <w:spacing w:after="80"/>
      </w:pPr>
      <w:r>
        <w:rPr>
          <w:rFonts w:ascii="Calibri" w:hAnsi="Calibri"/>
          <w:b w:val="0"/>
          <w:color w:val="3A4A28"/>
          <w:sz w:val="20"/>
        </w:rPr>
        <w:t>Clearway Energy, Inc. is one of the largest owners of clean energy generation assets in the United States, with approximately 9 GW of installed wind, solar, and energy storage capacity plus roughly 2.5 GW of natural gas generation. The company operates as a yieldco, distributing cash available for distribution (CAFD) to shareholders through quarterly dividends. Sponsored by Clearway Energy Group (majority-owned by Global Infrastructure Partners). Headquartered in Princeton, New Jersey.</w:t>
      </w:r>
    </w:p>
    <w:p>
      <w:r>
        <w:rPr>
          <w:rFonts w:ascii="Calibri" w:hAnsi="Calibri"/>
          <w:b/>
          <w:color w:val="6E8450"/>
          <w:sz w:val="18"/>
        </w:rPr>
        <w:t>60 Employees · https://www.clearwayenergy.com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Clearway has executed a meaningful business model evolution by signing 2 GW of AI-linked power purchase agreements, including a 1.17 GW deal with Google for data center power, positioning the company at the intersection of renewable energy and AI infrastructure demand [3]. The company has also expanded into battery energy storage, adding dispatchable capacity to complement intermittent wind and solar assets. However, these represent commercial evolution, not technology innovation. AI Deployment (0/2): No AI deployment in internal operations or AI-powered products offered to customers. The company generates power, not technology [1]. Market Share (1/2): Clearway is among the largest clean energy owners in the U.S. with approximately 9 GW of operating capacity, but it is significantly smaller than NextEra Energy (~35 GW), AES, and other utility-scale renewable platforms [1]. Product Pipeline (1/2): The 2 GW AI-linked power agreement pipeline and development of integrated power campuses for hyperscale customers provide clear revenue visibility, with specific counterparties (Google) and capacity commitments [3]. R&amp;D Intensity (0/1): As a yieldco owning and operating existing assets, Clearway does not invest in R&amp;D — technology development occurs at equipment manufacturers (e.g., First Solar, Vestas), not asset operators.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Clearway's purpose centers on accelerating the transition to clean energy — a clear and socially beneficial mission that identifies both what the company does and why it matters. However, this positioning is shared by virtually every renewable energy company, making it clear but not distinctive within the sector [4]. Community Impact (1/2): Clearway's 2024 ESG report documents that 95% of electricity generated produces zero emissions, and 82% of stakeholder survey respondents agreed ESG policies address appropriate issues [4]. However, no specific charitable foundation, community investment dollar amounts, or distinctive social programs were identified beyond standard corporate sustainability efforts. Employee Retention (0/2): With only 60 corporate employees (operations run by Clearway Energy Group), retention data is limited. Glassdoor reviews are mixed — some praise safety culture and work-life balance while others report being overworked and underpaid with significant staff turnover in certain departments [5]. Insider Buying (0/2): No evidence of meaningful net insider buying by CEO Craig Cornelius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Q2 2026 revenue surged 22.7% YoY to $481M with Adjusted EBITDA of $409M (up 19.2%), demonstrating strong operational performance [1]. However, yieldco financial structure creates metric distortions: Forward P/E of 60.17 at the algorithm floor reflects high depreciation depressing reported earnings relative to cash generation, and payout ratio of 221% is typical for yieldcos distributing more than net income (funded by CAFD of $167M quarterly) [2]. D/E of 177% reflects the capital-intensive, project-finance-heavy balance sheet common to power infrastructure companies. The dividend profile is the strength — 5.82% yield, 6 consecutive years of growth at 6.69% YoY, supporting the income thesis [2]. The company lowered 2026 CAFD guidance to $430-$470M from $470-$510M, citing weather and timing factors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Clearway Energy exhibits a mixed infinite-finite posture. The clean energy mission provides a genuine Just Cause that connects the company's work to something larger than quarterly earnings, and the pivot toward AI-linked power campuses shows strategic flexibility. However, as a yieldco, the company's primary purpose is distributing cash to shareholders — an inherently finite optimization. The relatively short corporate history (formed 2018) limits the evidence for multi-decade purpose validation.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Clearway's purpose — accelerating the clean energy transition — is genuine, service-oriented, and connects to a meaningful societal goal. Strategic decisions (investing exclusively in renewable and storage assets, signing long-term clean energy PPAs with hyperscale customers, targeting 95% zero-emission generation) consistently reflect this purpose [4]. However, the cause has not been tested through decades of consistent execution — the company was formed in 2018 from NRG Energy's yieldco spinoff and has not yet faced a major crisis that would test its commitment to purpose over short-term survival.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Clearway's corporate team of only 60 employees makes organizational culture assessment difficult. Glassdoor reviews show mixed signals — some employees praise safety culture, supportive management, and healthy work-life balance, while others report feeling overworked, underpaid, and experiencing poor culture in certain operational areas [5]. The small corporate team likely has reasonable trust dynamics, but insufficient evidence exists for a high-trust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Clearway's leadership explicitly acknowledging competitors' strengths as motivation for improvement. The company competes for power purchase agreements against NextEra, AES, and other large renewable developers but does not publicly frame competition as a learning opportunity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Clearway's lineage demonstrates incremental flexibility — originating as NRG Yield (a traditional utility spinoff) before transforming into a pure-play clean energy yieldco, and now evolving again into an AI-linked power campus developer [3]. The pivot toward integrated power solutions for hyperscale customers represents a meaningful strategic evolution beyond simply buying and operating renewable assets. However, these changes have been market-driven adaptations rather than transformative self-disruption.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Craig Cornelius (appointed June 2024) has made forward-looking strategic bets, including the 2 GW AI-linked power campus strategy and aggressive investment in battery energy storage capacity [3]. The decision to pursue long-term contracted revenue with hyperscale customers represents a meaningful strategic commitment. However, these bets are relatively low-risk given strong market demand for clean power and supportive policy incentives — true courage would involve maintaining renewable energy investment during a period of policy reversal or subsidy removal.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Clearway Energy delivered a strong Q2 2026 with revenue up 22.7% to $481M, Adjusted EBITDA of $409M (up 19.2%), and CAFD of $167M, demonstrating the operational leverage of its 9 GW renewable energy portfolio [1]. The AI data center power opportunity is transformative — 2 GW of AI-linked power purchase agreements including 1.17 GW with Google provide multi-decade contracted revenue visibility, and the 'AI power bottleneck' thesis positions Clearway as essential infrastructure for the AI era [3]. The 5.82% dividend yield with 6 consecutive years of growth at 6.69% annually provides compelling income generation, and the CAFD-based distribution model is well-supported by long-term power contracts.</w:t>
      </w:r>
    </w:p>
    <w:p>
      <w:pPr>
        <w:spacing w:after="120"/>
      </w:pPr>
      <w:r>
        <w:rPr>
          <w:rFonts w:ascii="Calibri" w:hAnsi="Calibri"/>
          <w:b w:val="0"/>
          <w:color w:val="3A4A28"/>
          <w:sz w:val="20"/>
        </w:rPr>
        <w:t>The bear case centers on financial structure and execution risk. Forward P/E of 60.17 and payout ratio of 221% reflect the yieldco's capital-intensive, depreciation-heavy model that distorts traditional metrics but also limits valuation upside compared to growth equity [2]. D/E of 177% is manageable for an infrastructure yieldco but creates refinancing risk if interest rates remain elevated. The company lowered 2026 CAFD guidance to $430-$470M from $470-$510M, citing weather variability and project timing — a reminder that renewable energy cash flows remain subject to meteorological risk despite contracted pricing [1]. ROE of -3.17% and profit margin of 6.42% reflect structural limitations of the yieldco model where depreciation and project-finance interest expenses consume reported earnings even as cash generation remains robust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on 2 GW AI-linked power purchase agreements with Google and hyperscale customers, converting contracted capacity into operating revenue and CAFD contribution over 2026-2030</w:t>
      </w:r>
    </w:p>
    <w:p>
      <w:pPr>
        <w:spacing w:before="40" w:after="40"/>
        <w:ind w:left="283"/>
      </w:pPr>
      <w:r>
        <w:rPr>
          <w:rFonts w:ascii="Calibri" w:hAnsi="Calibri"/>
          <w:b/>
          <w:color w:val="4A6B25"/>
          <w:sz w:val="20"/>
        </w:rPr>
        <w:t xml:space="preserve">2. </w:t>
      </w:r>
      <w:r>
        <w:rPr>
          <w:rFonts w:ascii="Calibri" w:hAnsi="Calibri"/>
          <w:b w:val="0"/>
          <w:color w:val="3A4A28"/>
          <w:sz w:val="20"/>
        </w:rPr>
        <w:t>Continued 6-7% annual dividend growth supported by portfolio expansion and rising CAFD, potentially attracting income-focused investors seeking clean energy exposure</w:t>
      </w:r>
    </w:p>
    <w:p>
      <w:pPr>
        <w:spacing w:before="40" w:after="40"/>
        <w:ind w:left="283"/>
      </w:pPr>
      <w:r>
        <w:rPr>
          <w:rFonts w:ascii="Calibri" w:hAnsi="Calibri"/>
          <w:b/>
          <w:color w:val="4A6B25"/>
          <w:sz w:val="20"/>
        </w:rPr>
        <w:t xml:space="preserve">3. </w:t>
      </w:r>
      <w:r>
        <w:rPr>
          <w:rFonts w:ascii="Calibri" w:hAnsi="Calibri"/>
          <w:b w:val="0"/>
          <w:color w:val="3A4A28"/>
          <w:sz w:val="20"/>
        </w:rPr>
        <w:t>Battery energy storage buildout adding dispatchable capacity that commands premium pricing during peak demand periods, improving revenue quality and grid reliability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CAFD guidance lowered to $430-$470M from $470-$510M due to weather and timing factors, highlighting the inherent variability of renewable energy generation and risk to dividend coverage</w:t>
      </w:r>
    </w:p>
    <w:p>
      <w:pPr>
        <w:spacing w:before="40" w:after="40"/>
        <w:ind w:left="283"/>
      </w:pPr>
      <w:r>
        <w:rPr>
          <w:rFonts w:ascii="Calibri" w:hAnsi="Calibri"/>
          <w:b/>
          <w:color w:val="4A6B25"/>
          <w:sz w:val="20"/>
        </w:rPr>
        <w:t xml:space="preserve">2. </w:t>
      </w:r>
      <w:r>
        <w:rPr>
          <w:rFonts w:ascii="Calibri" w:hAnsi="Calibri"/>
          <w:b w:val="0"/>
          <w:color w:val="3A4A28"/>
          <w:sz w:val="20"/>
        </w:rPr>
        <w:t>Forward P/E of 60.17 and payout ratio of 221% create vulnerability to any further CAFD shortfall, as the market may question long-term dividend sustainability if cash generation disappoints</w:t>
      </w:r>
    </w:p>
    <w:p>
      <w:pPr>
        <w:spacing w:before="40" w:after="40"/>
        <w:ind w:left="283"/>
      </w:pPr>
      <w:r>
        <w:rPr>
          <w:rFonts w:ascii="Calibri" w:hAnsi="Calibri"/>
          <w:b/>
          <w:color w:val="4A6B25"/>
          <w:sz w:val="20"/>
        </w:rPr>
        <w:t xml:space="preserve">3. </w:t>
      </w:r>
      <w:r>
        <w:rPr>
          <w:rFonts w:ascii="Calibri" w:hAnsi="Calibri"/>
          <w:b w:val="0"/>
          <w:color w:val="3A4A28"/>
          <w:sz w:val="20"/>
        </w:rPr>
        <w:t>Potential changes to clean energy tax credits under evolving federal energy policy could reduce the economic returns on new project acquisitions and slow portfolio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Clearway Energy's core business — owning and operating physical power generation infrastructure (wind farms, solar arrays, battery storage, natural gas plants) — is structurally immune to AI disruption and actively benefits from it [3]. AI data centers are among the most electricity-intensive facilities ever built, and the explosive growth in AI workloads is creating unprecedented demand for clean power. Clearway has signed 1.17 GW of power purchase agreements with Google specifically for AI data center demand, and is developing integrated power campuses for hyperscale customers [3]. Analysts describe the 'AI power bottleneck' as a long-term structural tailwind for renewable energy owners. No analyst has identified any pathway by which AI could substitute for physical electricity generation infrastructure. AI Opportunity (1/1): The 2 GW of AI-linked power purchase agreements with Google and other hyperscale customers represent quantifiable, contracted AI-driven revenue that will flow through CAFD over multi-decade terms [3]. These agreements directly tie Clearway's revenue growth trajectory to the expansion of AI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Clearway Energy Q2 2026 Financial Results — GlobeNewsWire, August 5,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CWEN Statistics and Valuation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Yahoo Finance — Clearway Energy AI Power Agreements and 1.17 GW Google PPA Coverage, 2026</w:t>
      </w:r>
    </w:p>
    <w:p>
      <w:pPr>
        <w:spacing w:before="20" w:after="20"/>
        <w:ind w:left="170"/>
      </w:pPr>
      <w:r>
        <w:rPr>
          <w:rFonts w:ascii="Calibri" w:hAnsi="Calibri"/>
          <w:b/>
          <w:color w:val="4A6B25"/>
          <w:sz w:val="15"/>
        </w:rPr>
        <w:t xml:space="preserve">4. </w:t>
      </w:r>
      <w:r>
        <w:rPr>
          <w:rFonts w:ascii="Calibri" w:hAnsi="Calibri"/>
          <w:b w:val="0"/>
          <w:color w:val="3A4A28"/>
          <w:sz w:val="17"/>
        </w:rPr>
        <w:t>Clearway Energy 2024 ESG Report and Sustainability Highlights — Company Website</w:t>
      </w:r>
    </w:p>
    <w:p>
      <w:pPr>
        <w:spacing w:before="20" w:after="20"/>
        <w:ind w:left="170"/>
      </w:pPr>
      <w:r>
        <w:rPr>
          <w:rFonts w:ascii="Calibri" w:hAnsi="Calibri"/>
          <w:b/>
          <w:color w:val="4A6B25"/>
          <w:sz w:val="15"/>
        </w:rPr>
        <w:t xml:space="preserve">5. </w:t>
      </w:r>
      <w:r>
        <w:rPr>
          <w:rFonts w:ascii="Calibri" w:hAnsi="Calibri"/>
          <w:b w:val="0"/>
          <w:color w:val="3A4A28"/>
          <w:sz w:val="17"/>
        </w:rPr>
        <w:t>Glassdoor — Clearway Energy Employee Reviews,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