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CYCN</w:t>
      </w:r>
      <w:r>
        <w:rPr>
          <w:rFonts w:ascii="Calibri" w:hAnsi="Calibri"/>
          <w:b/>
          <w:color w:val="1A2010"/>
          <w:sz w:val="40"/>
        </w:rPr>
        <w:t xml:space="preserve">  Cyclerion Therapeutics, Inc.</w:t>
      </w:r>
    </w:p>
    <w:p>
      <w:pPr>
        <w:spacing w:after="120"/>
      </w:pPr>
      <w:r>
        <w:rPr>
          <w:rFonts w:ascii="Calibri" w:hAnsi="Calibri"/>
          <w:b/>
          <w:color w:val="6E8450"/>
          <w:sz w:val="18"/>
        </w:rPr>
        <w:t>GROWTH SLEEVE · 2026-07-28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Cyclerion Therapeutics, Inc. is a clinical-stage biopharmaceutical company focused on developing treatments for neuropsychiatric disorders, particularly treatment-resistant depression (TRD). The company pivoted from its legacy soluble guanylate cyclase (sGC) platform after clinical setbacks in heart failure and sickle cell disease, licensing a novel TRD therapy from MIT that combines anesthetic agents with proprietary technology to restore brain region communication. Pending reverse merger with Korsana (ticker change to KRSA). Spun out of Ironwood Pharmaceuticals in 2019, headquartered in Cambridge, Massachusetts.</w:t>
      </w:r>
    </w:p>
    <w:p>
      <w:r>
        <w:rPr>
          <w:rFonts w:ascii="Calibri" w:hAnsi="Calibri"/>
          <w:b/>
          <w:color w:val="6E8450"/>
          <w:sz w:val="18"/>
        </w:rPr>
        <w:t>20 Employees · https://www.cyclerion.com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Cyclerion executed a fundamental strategic pivot in 2023-2025, abandoning its failed sGC platform (CY6463 setbacks in heart failure and sickle cell disease) and licensing a novel treatment-resistant depression therapy from MIT [1][2]. While this represents a significant business model transformation, it was driven by clinical failure rather than proactive innovation. AI Deployment (0/2): No evidence of AI-powered drug discovery tools or AI-driven operational efficiencies. The company's approach is traditional clinical-stage development [5]. Market Share (0/2): Pre-revenue clinical-stage company with no commercial products and zero market share in any therapeutic category. The TRD market opportunity (3M U.S. patients) is identified but entirely prospective [1]. Product Pipeline (1/2): Phase 2 proof-of-concept trial for the MIT-licensed TRD therapy expected to initiate in 2026 with data anticipated in 2027 [1]. Pipeline is narrow (single lead program) with typical Phase 2 clinical risk. R&amp;D Intensity (1/1): As a clinical-stage biotech, virtually all spending is R&amp;D-related, with quarterly expenses of $1.88M against $875K revenue — R&amp;D intensity dramatically above industry average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Cyclerion's mission to 'develop treatments that restore cognitive function' for the 3 million Americans living with treatment-resistant depression is specific and connects the company's work to a genuine patient need [1]. The mission identifies a clear beneficiary population and a therapeutic aspiration. However, the mission was recently adopted following the sGC platform failure, and it has not been validated through execution or sustained strategic consistency. Community Impact (0/2): No evidence of charitable programs, foundation activity, or community investment beyond the inherent social value of developing TRD treatments. Employee Retention (0/2): Company employs approximately 20 people; no specific retention, tenure, or turnover data publicly reported. Very small team size makes this metric less meaningful [3]. Insider Buying (0/2): No evidence of meaningful net insider buying by CEO Graul or other executives in the last 12 months. Former CEO Peter Hecht stepped away to lead Tisento Therapeutics, which acquired Cyclerion's legacy sGC assets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5,000 shares at ~$5/share yields daily dollar volume of ~$25,000, far below the $1M minimum threshold required for IOWN tradability. Infrastructure score automatically set to 0 regardless of underlying financial metrics [5]. Underlying metrics are also deeply challenged: ROE of -121.7% reflects sustained losses, quarterly net loss of $976K on $875K revenue, and cash position of just $4.57M provides limited runway [5]. The pending Korsana reverse merger with $380M financing would fundamentally transform the capital structure if completed, but that entity would be a different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Cyclerion has demonstrated notable existential flexibility by reinventing itself after the complete failure of its founding sGC platform, pivoting to neuropsychiatric disorders through the MIT licensing deal. However, this transformation was driven by survival necessity rather than a long-held Just Cause, and the company's brief operating history under the new strategy (less than 2 years) provides insufficient evidence of enduring commitment. The pending Korsana merger raises questions about whether this entity will exist in its current form long enough for any Just Cause to be validated.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Cyclerion's repositioned mission to restore cognitive function in TRD patients connects its work to a genuine human need — 3 million Americans suffering from treatment-resistant depression [1]. The mission identifies a specific, underserved patient population. However, this Just Cause was adopted in 2025 following the sGC platform failure, replacing an entirely different mission. There is no multi-year track record of consistent execution against this purpose, and the pending Korsana merger may alter the cause entirely.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Regina Graul, Ph.D. assumed leadership in late 2023 and has been described as having 'strengthened all aspects of the company' while assembling a strong board including Dr. Errol DeSouza (CNS expert) and Dr. Steven Hyman (Broad Institute) [3]. The small team (~20 employees) likely fosters close collaboration. However, the company has experienced significant leadership turnover — founding CEO Peter Hecht departed to run Tisento — and organizational stability is unproven under the new strategic direction.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Cyclerion's leadership acknowledging competitors' strengths or using competitive dynamics as motivation for improvement. In the TRD treatment space, companies like Johnson &amp; Johnson (Spravato), COMPASS Pathways (psilocybin), and others represent meaningful competitive reference points, but Cyclerion's communications focus on its own differentiated mechanism rather than engaging with rivals' approaches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Cyclerion fundamentally reinvented itself by abandoning the sGC platform that defined the company since its 2019 spinoff from Ironwood, selling those legacy assets to Tisento, and licensing an entirely new therapeutic approach from MIT for a different disease area [1][2]. This pivot from cardiovascular/hematology to neuropsychiatry represents genuine existential flexibility. However, the transformation was driven by clinical trial failures and survival necessity rather than a purpose-driven strategic vision, which Sinek would distinguish from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Graul's decision to license the MIT TRD therapy and completely reposition the company away from the legacy sGC platform required conviction — abandoning the company's founding science in favor of an unproven approach in a new therapeutic area [1][3]. The cost-rationalization program to preserve cash for the Phase 2 trial shows resource discipline. However, this 'courage' was largely forced by the failure of the legacy platform rather than a proactive choice to invest in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Cyclerion Therapeutics offers a speculative option on a first-in-class treatment-resistant depression therapy licensed from MIT, targeting an underserved population of ~3 million U.S. patients [1]. The Phase 2 proof-of-concept trial expected to initiate in 2026 with data in 2027 represents a binary catalyst. New CEO Dr. Regina Graul has assembled a credentialed board including CNS and regulatory experts, and the $4.57M cash position with 5.8x current ratio provides near-term survival runway [3][5]. The pending Korsana reverse merger with $380M financing could transform the capital structure and eliminate the company's primary existential risk (cash burn) [4].</w:t>
      </w:r>
    </w:p>
    <w:p>
      <w:pPr>
        <w:spacing w:after="120"/>
      </w:pPr>
      <w:r>
        <w:rPr>
          <w:rFonts w:ascii="Calibri" w:hAnsi="Calibri"/>
          <w:b w:val="0"/>
          <w:color w:val="3A4A28"/>
          <w:sz w:val="20"/>
        </w:rPr>
        <w:t>Cyclerion is an uninvestable micro-cap for IOWN due to critical liquidity constraints — daily dollar volume of ~$25,000 makes meaningful position entry and exit impossible without moving the stock price. The company generates minimal revenue ($875K/quarter from legacy assets), burns cash ($976K quarterly net loss), and has only $4.57M in cash with no clear path to commercial revenue before 2029 at the earliest [5]. The single-asset pipeline (MIT TRD therapy in Phase 2 POC) carries typical biotech binary risk, and the pending Korsana merger introduces additional uncertainty about whether CYCN shareholders will retain meaningful value. The shareholder class action investigation adds governance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proof-of-concept trial initiation for the MIT-licensed TRD therapy in H2 2026, with positive data in 2027 potentially validating the novel mechanism of action</w:t>
      </w:r>
    </w:p>
    <w:p>
      <w:pPr>
        <w:spacing w:before="40" w:after="40"/>
        <w:ind w:left="283"/>
      </w:pPr>
      <w:r>
        <w:rPr>
          <w:rFonts w:ascii="Calibri" w:hAnsi="Calibri"/>
          <w:b/>
          <w:color w:val="4A6B25"/>
          <w:sz w:val="20"/>
        </w:rPr>
        <w:t xml:space="preserve">2. </w:t>
      </w:r>
      <w:r>
        <w:rPr>
          <w:rFonts w:ascii="Calibri" w:hAnsi="Calibri"/>
          <w:b w:val="0"/>
          <w:color w:val="3A4A28"/>
          <w:sz w:val="20"/>
        </w:rPr>
        <w:t>Completion of the Korsana reverse merger with $380M financing could eliminate cash burn risk and provide multi-year funded runway for clinical development</w:t>
      </w:r>
    </w:p>
    <w:p>
      <w:pPr>
        <w:spacing w:before="40" w:after="40"/>
        <w:ind w:left="283"/>
      </w:pPr>
      <w:r>
        <w:rPr>
          <w:rFonts w:ascii="Calibri" w:hAnsi="Calibri"/>
          <w:b/>
          <w:color w:val="4A6B25"/>
          <w:sz w:val="20"/>
        </w:rPr>
        <w:t xml:space="preserve">3. </w:t>
      </w:r>
      <w:r>
        <w:rPr>
          <w:rFonts w:ascii="Calibri" w:hAnsi="Calibri"/>
          <w:b w:val="0"/>
          <w:color w:val="3A4A28"/>
          <w:sz w:val="20"/>
        </w:rPr>
        <w:t>TRD market growth driven by increasing diagnosis rates and dissatisfaction with existing treatments (Spravato limitations) could attract partnership or licensing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~$25,000 makes CYCN uninvestable for any institutional or meaningful retail position — entry and exit would require days to weeks and would move the stock price significantly</w:t>
      </w:r>
    </w:p>
    <w:p>
      <w:pPr>
        <w:spacing w:before="40" w:after="40"/>
        <w:ind w:left="283"/>
      </w:pPr>
      <w:r>
        <w:rPr>
          <w:rFonts w:ascii="Calibri" w:hAnsi="Calibri"/>
          <w:b/>
          <w:color w:val="4A6B25"/>
          <w:sz w:val="20"/>
        </w:rPr>
        <w:t xml:space="preserve">2. </w:t>
      </w:r>
      <w:r>
        <w:rPr>
          <w:rFonts w:ascii="Calibri" w:hAnsi="Calibri"/>
          <w:b w:val="0"/>
          <w:color w:val="3A4A28"/>
          <w:sz w:val="20"/>
        </w:rPr>
        <w:t>Single-asset Phase 2 clinical risk with the MIT-licensed TRD therapy — biotech Phase 2 success rates are approximately 30%, and failure would eliminate the company's only value driver</w:t>
      </w:r>
    </w:p>
    <w:p>
      <w:pPr>
        <w:spacing w:before="40" w:after="40"/>
        <w:ind w:left="283"/>
      </w:pPr>
      <w:r>
        <w:rPr>
          <w:rFonts w:ascii="Calibri" w:hAnsi="Calibri"/>
          <w:b/>
          <w:color w:val="4A6B25"/>
          <w:sz w:val="20"/>
        </w:rPr>
        <w:t xml:space="preserve">3. </w:t>
      </w:r>
      <w:r>
        <w:rPr>
          <w:rFonts w:ascii="Calibri" w:hAnsi="Calibri"/>
          <w:b w:val="0"/>
          <w:color w:val="3A4A28"/>
          <w:sz w:val="20"/>
        </w:rPr>
        <w:t>Cash position of $4.57M with $976K quarterly burn rate provides approximately 4-5 quarters of runway without the Korsana merger, creating dilution or liquidation risk if the deal fails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neuropsychiatric disorders requires multi-year clinical trials, FDA regulatory approval, and physical drug manufacturing — processes that AI cannot bypass or substitute [2]. The regulatory framework (IND applications, Phase 1-3 trials, NDA review) creates a structural moat that protects all clinical-stage biotechs from direct AI displacement. However, AI-accelerated drug discovery platforms (AlphaFold, Recursion, Insilico Medicine) could discover competing TRD therapies faster, and AI-driven clinical trial optimization could advantage better-capitalized competitors [5]. Cyclerion's MIT-licensed approach (anesthetic agents with proprietary brain connectivity technology) has no reported AI component. AI Opportunity (0/1): No AI-powered products or services generating revenue. The company has not disclosed any AI-driven drug discovery or clinical trial optimization initiatives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Cyclerion Announces Transformational Relaunch as a Neuropsychiatric Company — StockTitan/IR, September 2025</w:t>
      </w:r>
    </w:p>
    <w:p>
      <w:pPr>
        <w:spacing w:before="20" w:after="20"/>
        <w:ind w:left="170"/>
      </w:pPr>
      <w:r>
        <w:rPr>
          <w:rFonts w:ascii="Calibri" w:hAnsi="Calibri"/>
          <w:b/>
          <w:color w:val="4A6B25"/>
          <w:sz w:val="15"/>
        </w:rPr>
        <w:t xml:space="preserve">2. </w:t>
      </w:r>
      <w:r>
        <w:rPr>
          <w:rFonts w:ascii="Calibri" w:hAnsi="Calibri"/>
          <w:b w:val="0"/>
          <w:color w:val="3A4A28"/>
          <w:sz w:val="17"/>
        </w:rPr>
        <w:t>Cyclerion Corporate and Pipeline Overview — IR Press Releases, 2022-2025</w:t>
      </w:r>
    </w:p>
    <w:p>
      <w:pPr>
        <w:spacing w:before="20" w:after="20"/>
        <w:ind w:left="170"/>
      </w:pPr>
      <w:r>
        <w:rPr>
          <w:rFonts w:ascii="Calibri" w:hAnsi="Calibri"/>
          <w:b/>
          <w:color w:val="4A6B25"/>
          <w:sz w:val="15"/>
        </w:rPr>
        <w:t xml:space="preserve">3. </w:t>
      </w:r>
      <w:r>
        <w:rPr>
          <w:rFonts w:ascii="Calibri" w:hAnsi="Calibri"/>
          <w:b w:val="0"/>
          <w:color w:val="3A4A28"/>
          <w:sz w:val="17"/>
        </w:rPr>
        <w:t>Cyclerion Appoints Regina Graul, Ph.D. as President and CEO — IR Press Release, August 2024</w:t>
      </w:r>
    </w:p>
    <w:p>
      <w:pPr>
        <w:spacing w:before="20" w:after="20"/>
        <w:ind w:left="170"/>
      </w:pPr>
      <w:r>
        <w:rPr>
          <w:rFonts w:ascii="Calibri" w:hAnsi="Calibri"/>
          <w:b/>
          <w:color w:val="4A6B25"/>
          <w:sz w:val="15"/>
        </w:rPr>
        <w:t xml:space="preserve">4. </w:t>
      </w:r>
      <w:r>
        <w:rPr>
          <w:rFonts w:ascii="Calibri" w:hAnsi="Calibri"/>
          <w:b w:val="0"/>
          <w:color w:val="3A4A28"/>
          <w:sz w:val="17"/>
        </w:rPr>
        <w:t>Cyclerion/Korsana S-4/A Merger Filing and Shareholder Investigation — SEC / PRNewswire, 2026</w:t>
      </w:r>
    </w:p>
    <w:p>
      <w:pPr>
        <w:spacing w:before="20" w:after="20"/>
        <w:ind w:left="170"/>
      </w:pPr>
      <w:r>
        <w:rPr>
          <w:rFonts w:ascii="Calibri" w:hAnsi="Calibri"/>
          <w:b/>
          <w:color w:val="4A6B25"/>
          <w:sz w:val="15"/>
        </w:rPr>
        <w:t xml:space="preserve">5. </w:t>
      </w:r>
      <w:r>
        <w:rPr>
          <w:rFonts w:ascii="Calibri" w:hAnsi="Calibri"/>
          <w:b w:val="0"/>
          <w:color w:val="3A4A28"/>
          <w:sz w:val="17"/>
        </w:rPr>
        <w:t>Cyclerion Financial Data and Market Statistics — Investing.com / StocksToTrade,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