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drawing>
          <wp:inline xmlns:a="http://schemas.openxmlformats.org/drawingml/2006/main" xmlns:pic="http://schemas.openxmlformats.org/drawingml/2006/picture">
            <wp:extent cx="1371600" cy="723227"/>
            <wp:docPr id="1" name="Picture 1"/>
            <wp:cNvGraphicFramePr>
              <a:graphicFrameLocks noChangeAspect="1"/>
            </wp:cNvGraphicFramePr>
            <a:graphic>
              <a:graphicData uri="http://schemas.openxmlformats.org/drawingml/2006/picture">
                <pic:pic>
                  <pic:nvPicPr>
                    <pic:cNvPr id="0" name="image.png"/>
                    <pic:cNvPicPr/>
                  </pic:nvPicPr>
                  <pic:blipFill>
                    <a:blip r:embed="rId9"/>
                    <a:stretch>
                      <a:fillRect/>
                    </a:stretch>
                  </pic:blipFill>
                  <pic:spPr>
                    <a:xfrm>
                      <a:off x="0" y="0"/>
                      <a:ext cx="1371600" cy="723227"/>
                    </a:xfrm>
                    <a:prstGeom prst="rect"/>
                  </pic:spPr>
                </pic:pic>
              </a:graphicData>
            </a:graphic>
          </wp:inline>
        </w:drawing>
      </w:r>
    </w:p>
    <w:p>
      <w:pPr>
        <w:spacing w:before="120" w:after="40"/>
      </w:pPr>
      <w:r>
        <w:rPr>
          <w:rFonts w:ascii="Calibri" w:hAnsi="Calibri"/>
          <w:b/>
          <w:color w:val="4A6B25"/>
          <w:sz w:val="56"/>
        </w:rPr>
        <w:t>DDD</w:t>
      </w:r>
      <w:r>
        <w:rPr>
          <w:rFonts w:ascii="Calibri" w:hAnsi="Calibri"/>
          <w:b/>
          <w:color w:val="1A2010"/>
          <w:sz w:val="40"/>
        </w:rPr>
        <w:t xml:space="preserve">  3D Systems Corporation</w:t>
      </w:r>
    </w:p>
    <w:p>
      <w:pPr>
        <w:spacing w:after="120"/>
      </w:pPr>
      <w:r>
        <w:rPr>
          <w:rFonts w:ascii="Calibri" w:hAnsi="Calibri"/>
          <w:b/>
          <w:color w:val="6E8450"/>
          <w:sz w:val="18"/>
        </w:rPr>
        <w:t>GROWTH SLEEVE · 2026-08-31 · Inspire: 46 · FINITE</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1200" w:type="dxa"/>
      </w:tblPr>
      <w:tblGrid>
        <w:gridCol w:w="10800"/>
      </w:tblGrid>
      <w:tr>
        <w:tc>
          <w:tcPr>
            <w:tcW w:type="dxa" w:w="10800"/>
            <w:shd w:fill="FFEBEE" w:val="clear"/>
          </w:tcPr>
          <w:p>
            <w:pPr>
              <w:spacing w:before="40" w:after="40"/>
              <w:jc w:val="center"/>
            </w:pPr>
            <w:r>
              <w:rPr>
                <w:rFonts w:ascii="Calibri" w:hAnsi="Calibri"/>
                <w:b/>
                <w:color w:val="DC2626"/>
                <w:sz w:val="20"/>
              </w:rPr>
              <w:t>SELL</w:t>
            </w:r>
          </w:p>
        </w:tc>
      </w:tr>
    </w:tbl>
    <w:p>
      <w:pPr>
        <w:spacing w:before="120" w:after="200"/>
      </w:pPr>
      <w:r>
        <w:rPr>
          <w:rFonts w:ascii="Calibri" w:hAnsi="Calibri"/>
          <w:b/>
          <w:color w:val="1A2010"/>
          <w:sz w:val="80"/>
        </w:rPr>
        <w:t>38</w:t>
      </w:r>
      <w:r>
        <w:rPr>
          <w:rFonts w:ascii="Calibri" w:hAnsi="Calibri"/>
          <w:b w:val="0"/>
          <w:color w:val="9DAF88"/>
          <w:sz w:val="28"/>
        </w:rPr>
        <w:t xml:space="preserve"> / </w:t>
      </w:r>
      <w:r>
        <w:rPr>
          <w:rFonts w:ascii="Calibri" w:hAnsi="Calibri"/>
          <w:b w:val="0"/>
          <w:color w:val="9DAF88"/>
          <w:sz w:val="24"/>
        </w:rPr>
        <w:t>100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COMPANY PROFILE</w:t>
            </w:r>
          </w:p>
        </w:tc>
      </w:tr>
    </w:tbl>
    <w:p>
      <w:r>
        <w:rPr>
          <w:rFonts w:ascii="Calibri" w:hAnsi="Calibri"/>
          <w:b/>
          <w:color w:val="6E8450"/>
          <w:sz w:val="18"/>
        </w:rPr>
        <w:t>Technology · Computer Hardware / Additive Manufacturing · NYSE · United States</w:t>
      </w:r>
    </w:p>
    <w:p>
      <w:pPr>
        <w:spacing w:after="80"/>
      </w:pPr>
      <w:r>
        <w:rPr>
          <w:rFonts w:ascii="Calibri" w:hAnsi="Calibri"/>
          <w:b w:val="0"/>
          <w:color w:val="3A4A28"/>
          <w:sz w:val="20"/>
        </w:rPr>
        <w:t>3D Systems Corporation provides additive manufacturing and 3D printing solutions, including 3D printers, print materials, software, and on-demand manufacturing services. The company serves healthcare (surgical guides, dental, regenerative medicine) and industrial markets (aerospace, automotive, consumer goods). Q2 2026 revenue was $94.6M with printer sales surging 40% and Healthcare growing 6.8% YoY. Completed a $30.8M convertible note-for-equity swap to reduce debt. Founded in 1986 by Chuck Hull, the inventor of stereolithography, headquartered in Rock Hill, South Carolina.</w:t>
      </w:r>
    </w:p>
    <w:p>
      <w:r>
        <w:rPr>
          <w:rFonts w:ascii="Calibri" w:hAnsi="Calibri"/>
          <w:b/>
          <w:color w:val="6E8450"/>
          <w:sz w:val="18"/>
        </w:rPr>
        <w:t>1,418 Employees · https://www.3dsystems.com</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EXCELLENCE EVALUATION — THINK LIKE AN OWNER (50%)</w:t>
            </w:r>
          </w:p>
        </w:tc>
      </w:tr>
    </w:tbl>
    <w:p>
      <w:pPr>
        <w:spacing w:before="200" w:after="40"/>
      </w:pPr>
      <w:r>
        <w:rPr>
          <w:rFonts w:ascii="Calibri" w:hAnsi="Calibri"/>
          <w:b/>
          <w:color w:val="1A2010"/>
          <w:sz w:val="22"/>
        </w:rPr>
        <w:t>Innovation</w:t>
      </w:r>
      <w:r>
        <w:rPr>
          <w:rFonts w:ascii="Calibri" w:hAnsi="Calibri"/>
          <w:b w:val="0"/>
          <w:color w:val="1A2010"/>
          <w:sz w:val="22"/>
        </w:rPr>
        <w:t xml:space="preserve">  </w:t>
      </w:r>
      <w:r>
        <w:rPr>
          <w:rFonts w:ascii="Calibri" w:hAnsi="Calibri"/>
          <w:b/>
          <w:color w:val="DC2626"/>
          <w:sz w:val="16"/>
        </w:rPr>
        <w:t xml:space="preserve"> WEAK </w:t>
      </w:r>
    </w:p>
    <w:p>
      <w:pPr>
        <w:spacing w:before="0" w:after="40"/>
      </w:pPr>
      <w:r>
        <w:rPr>
          <w:rFonts w:ascii="Calibri" w:hAnsi="Calibri"/>
          <w:b/>
          <w:color w:val="DC2626"/>
          <w:sz w:val="28"/>
        </w:rPr>
        <w:t>3</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1654"/>
            <w:shd w:fill="DC2626" w:val="clear"/>
          </w:tcPr>
          <w:p>
            <w:pPr>
              <w:spacing w:before="0" w:after="0"/>
            </w:pPr>
            <w:r>
              <w:rPr>
                <w:rFonts w:ascii="Calibri" w:hAnsi="Calibri"/>
                <w:b w:val="0"/>
                <w:color w:val="1A2010"/>
                <w:sz w:val="4"/>
              </w:rPr>
            </w:r>
          </w:p>
        </w:tc>
        <w:tc>
          <w:tcPr>
            <w:tcW w:type="dxa" w:w="3858"/>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Track Record (1/3): 3D Systems divested its Cimatron and GibbsCAM software businesses in 2025 to refocus on core additive manufacturing, but this represents portfolio pruning rather than transformative innovation [1]. Q2 2026 showed encouraging signs — printer sales surged 40% with double-digit growth in both metal and polymer hardware, and Healthcare grew 6.8% YoY with 20%+ Med Tech growth [1]. However, total Q2 revenue of $94.6M was essentially flat YoY (-0.3%), and the company's overall revenue trajectory has declined from $615.6M in 2021. AI Deployment (0/2): No AI-powered products shipping and no quantified AI-driven cost savings or revenue gains reported. The company references AI infrastructure as an end market for 3D-printed components but does not deploy AI in its own products [1]. Market Share (1/2): 3D Systems remains a meaningful player in additive manufacturing with a pioneer heritage (Chuck Hull invented stereolithography in 1986), but it is not a category leader — competing against HP, Stratasys, Desktop Metal, and others with overall flat-to-declining revenue [2]. Product Pipeline (1/2): Healthcare pipeline includes regenerative medicine applications and growing dental solutions, with Q2 Med Tech growing 20%+, but no specific next-gen products with named launch dates and revenue visibility were disclosed [1]. R&amp;D Intensity (0/1): No specific R&amp;D spending data found to compare against industry peers.</w:t>
      </w:r>
    </w:p>
    <w:p>
      <w:pPr>
        <w:spacing w:before="200" w:after="40"/>
      </w:pPr>
      <w:r>
        <w:rPr>
          <w:rFonts w:ascii="Calibri" w:hAnsi="Calibri"/>
          <w:b/>
          <w:color w:val="1A2010"/>
          <w:sz w:val="22"/>
        </w:rPr>
        <w:t>Inspiration</w:t>
      </w:r>
      <w:r>
        <w:rPr>
          <w:rFonts w:ascii="Calibri" w:hAnsi="Calibri"/>
          <w:b w:val="0"/>
          <w:color w:val="1A2010"/>
          <w:sz w:val="22"/>
        </w:rPr>
        <w:t xml:space="preserve">  </w:t>
      </w:r>
      <w:r>
        <w:rPr>
          <w:rFonts w:ascii="Calibri" w:hAnsi="Calibri"/>
          <w:b/>
          <w:color w:val="DC2626"/>
          <w:sz w:val="16"/>
        </w:rPr>
        <w:t xml:space="preserve"> WEAK </w:t>
      </w:r>
    </w:p>
    <w:p>
      <w:pPr>
        <w:spacing w:before="0" w:after="40"/>
      </w:pPr>
      <w:r>
        <w:rPr>
          <w:rFonts w:ascii="Calibri" w:hAnsi="Calibri"/>
          <w:b/>
          <w:color w:val="DC2626"/>
          <w:sz w:val="28"/>
        </w:rPr>
        <w:t>2</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1102"/>
            <w:shd w:fill="DC2626" w:val="clear"/>
          </w:tcPr>
          <w:p>
            <w:pPr>
              <w:spacing w:before="0" w:after="0"/>
            </w:pPr>
            <w:r>
              <w:rPr>
                <w:rFonts w:ascii="Calibri" w:hAnsi="Calibri"/>
                <w:b w:val="0"/>
                <w:color w:val="1A2010"/>
                <w:sz w:val="4"/>
              </w:rPr>
            </w:r>
          </w:p>
        </w:tc>
        <w:tc>
          <w:tcPr>
            <w:tcW w:type="dxa" w:w="4409"/>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Mission Floor (2/4): 3D Systems articulates its purpose as 'Transforming Manufacturing for a Better Future' with a vision to 'revolutionize the way the world designs, manufactures, and personalizes products' [3]. This is clear and identifies the company's role in manufacturing transformation, but is not distinctive enough to differentiate from peers like Stratasys or HP's 3D printing division — it lacks the specificity and validated-by-decades-of-execution quality of a higher score. Community Impact (0/2): No evidence found of significant charitable giving, foundation, or community investment programs beyond general corporate responsibility statements [3]. Employee Retention (0/2): The workforce has contracted dramatically — from over 7,000 employees at peak to 1,418 currently — reflecting successive rounds of restructuring and layoffs that suggest organizational instability rather than mission-driven retention [2]. Insider Buying (0/2): No evidence of meaningful net insider buying by CEO Graves or other executives in the last 12 months. The company conducted a share repurchase at $1.87/share in June 2025, but this was a company-level transaction tied to convertible note restructuring, not personal conviction buying [4].</w:t>
      </w:r>
    </w:p>
    <w:p>
      <w:pPr>
        <w:spacing w:before="200" w:after="40"/>
      </w:pPr>
      <w:r>
        <w:rPr>
          <w:rFonts w:ascii="Calibri" w:hAnsi="Calibri"/>
          <w:b/>
          <w:color w:val="1A2010"/>
          <w:sz w:val="22"/>
        </w:rPr>
        <w:t>Infrastructure</w:t>
      </w:r>
      <w:r>
        <w:rPr>
          <w:rFonts w:ascii="Calibri" w:hAnsi="Calibri"/>
          <w:b w:val="0"/>
          <w:color w:val="1A2010"/>
          <w:sz w:val="22"/>
        </w:rPr>
        <w:t xml:space="preserve">  </w:t>
      </w:r>
      <w:r>
        <w:rPr>
          <w:rFonts w:ascii="Calibri" w:hAnsi="Calibri"/>
          <w:b/>
          <w:color w:val="DC2626"/>
          <w:sz w:val="16"/>
        </w:rPr>
        <w:t xml:space="preserve"> WEAK </w:t>
      </w:r>
    </w:p>
    <w:p>
      <w:pPr>
        <w:spacing w:before="0" w:after="40"/>
      </w:pPr>
      <w:r>
        <w:rPr>
          <w:rFonts w:ascii="Calibri" w:hAnsi="Calibri"/>
          <w:b/>
          <w:color w:val="DC2626"/>
          <w:sz w:val="28"/>
        </w:rPr>
        <w:t>3</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1654"/>
            <w:shd w:fill="DC2626" w:val="clear"/>
          </w:tcPr>
          <w:p>
            <w:pPr>
              <w:spacing w:before="0" w:after="0"/>
            </w:pPr>
            <w:r>
              <w:rPr>
                <w:rFonts w:ascii="Calibri" w:hAnsi="Calibri"/>
                <w:b w:val="0"/>
                <w:color w:val="1A2010"/>
                <w:sz w:val="4"/>
              </w:rPr>
            </w:r>
          </w:p>
        </w:tc>
        <w:tc>
          <w:tcPr>
            <w:tcW w:type="dxa" w:w="3858"/>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Mechanically scored on available operating metrics. Prior GAAP results were distorted by one-time divestiture gains; Q2 2026 posted a net loss of $12.9M and adjusted EBITDA of -$0.8M, reflecting the true operating reality [1][2]. D/E has risen to 87% from 61% after the $30.8M convertible note-for-equity swap (converting debt to ~16.6M new shares), scoring 0.93 but above the 70% target [2]. Revenue has declined over five years at approximately -8.8% 5-year CAGR, from $615.6M in 2021 to approximately $380M TTM, scoring 0.0 (below -5% floor); Q2 2026 revenue of $94.6M was essentially flat YoY (-0.3%), scoring 0.66 [1]. Operating profit margin is negative, scoring 0.0. Forward P/E, PEG, and ROE are unavailable or distorted and excluded. Calculation on available metrics: D/E 0.93 (1x) + Rev YoY 0.66 (1x) + Rev 5yr CAGR 0.0 (2x) + Profit Margin 0.0 (1x) = 1.59 / 5 weights x 10 = 3. Q3 2026 guidance of $96-99M revenue with adjusted EBITDA of -$3M to -$1M suggests continued stabilization but not yet inflection. Liquidity cleared: 5.0M avg volume x $3.43 = $17.2M daily.</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FINITE VS INFINITE GAME — SINEK (25%)</w:t>
            </w:r>
          </w:p>
        </w:tc>
      </w:tr>
    </w:tbl>
    <w:p>
      <w:pPr>
        <w:spacing w:after="40"/>
      </w:pPr>
      <w:r>
        <w:rPr>
          <w:rFonts w:ascii="Calibri" w:hAnsi="Calibri"/>
          <w:b w:val="0"/>
          <w:color w:val="6E8450"/>
          <w:sz w:val="22"/>
        </w:rPr>
        <w:t xml:space="preserve">Mindset: </w:t>
      </w:r>
      <w:r>
        <w:rPr>
          <w:rFonts w:ascii="Calibri" w:hAnsi="Calibri"/>
          <w:b/>
          <w:color w:val="DC2626"/>
          <w:sz w:val="22"/>
        </w:rPr>
        <w:t>FINITE</w:t>
      </w:r>
      <w:r>
        <w:rPr>
          <w:rFonts w:ascii="Calibri" w:hAnsi="Calibri"/>
          <w:b w:val="0"/>
          <w:color w:val="6E8450"/>
          <w:sz w:val="22"/>
        </w:rPr>
        <w:t xml:space="preserve">      Overall: </w:t>
      </w:r>
      <w:r>
        <w:rPr>
          <w:rFonts w:ascii="Calibri" w:hAnsi="Calibri"/>
          <w:b/>
          <w:color w:val="DC2626"/>
          <w:sz w:val="28"/>
        </w:rPr>
        <w:t>3</w:t>
      </w:r>
      <w:r>
        <w:rPr>
          <w:rFonts w:ascii="Calibri" w:hAnsi="Calibri"/>
          <w:b w:val="0"/>
          <w:color w:val="9DAF88"/>
          <w:sz w:val="18"/>
        </w:rPr>
        <w:t xml:space="preserve"> /10</w:t>
      </w:r>
    </w:p>
    <w:p>
      <w:pPr>
        <w:spacing w:after="120"/>
      </w:pPr>
      <w:r>
        <w:rPr>
          <w:rFonts w:ascii="Calibri" w:hAnsi="Calibri"/>
          <w:b w:val="0"/>
          <w:color w:val="3A4A28"/>
          <w:sz w:val="18"/>
        </w:rPr>
        <w:t>3D Systems under Dr. Jeffrey Graves has been playing a survival game rather than an infinite game. Five consecutive years of revenue decline, dramatic workforce reduction from 7,000+ to 1,418 employees, serial divestiture of software businesses, and multiple leadership transitions signal a company optimizing for near-term financial stability rather than pursuing a durable Just Cause. The pioneer heritage of Chuck Hull's stereolithography invention provides a foundation, but the company has not demonstrated the long-term consistency of purpose that Sinek demands.</w:t>
      </w:r>
    </w:p>
    <w:p>
      <w:pPr>
        <w:spacing w:before="200" w:after="40"/>
      </w:pPr>
      <w:r>
        <w:rPr>
          <w:rFonts w:ascii="Calibri" w:hAnsi="Calibri"/>
          <w:b/>
          <w:color w:val="1A2010"/>
          <w:sz w:val="22"/>
        </w:rPr>
        <w:t>Just Cause</w:t>
      </w:r>
    </w:p>
    <w:p>
      <w:pPr>
        <w:spacing w:before="0" w:after="40"/>
      </w:pPr>
      <w:r>
        <w:rPr>
          <w:rFonts w:ascii="Calibri" w:hAnsi="Calibri"/>
          <w:b/>
          <w:color w:val="B8860B"/>
          <w:sz w:val="28"/>
        </w:rPr>
        <w:t>4</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2205"/>
            <w:shd w:fill="B8860B" w:val="clear"/>
          </w:tcPr>
          <w:p>
            <w:pPr>
              <w:spacing w:before="0" w:after="0"/>
            </w:pPr>
            <w:r>
              <w:rPr>
                <w:rFonts w:ascii="Calibri" w:hAnsi="Calibri"/>
                <w:b w:val="0"/>
                <w:color w:val="1A2010"/>
                <w:sz w:val="4"/>
              </w:rPr>
            </w:r>
          </w:p>
        </w:tc>
        <w:tc>
          <w:tcPr>
            <w:tcW w:type="dxa" w:w="3307"/>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Just Cause (1/3): 3D Systems has a purpose statement — 'Transforming Manufacturing for a Better Future' — but it reads as marketing rather than a deeply held cause that shapes strategic decisions [3]. The company has pivoted strategies multiple times under different CEOs (Abe Reichental's aggressive acquisition strategy, VJ's operational focus, Graves' restructuring and divestiture approach), suggesting the purpose does not endure across leadership transitions. Chuck Hull's founding vision of democratizing manufacturing through stereolithography was genuine but has been diluted through decades of financial struggles and strategic pivots.</w:t>
      </w:r>
    </w:p>
    <w:p>
      <w:pPr>
        <w:spacing w:before="200" w:after="40"/>
      </w:pPr>
      <w:r>
        <w:rPr>
          <w:rFonts w:ascii="Calibri" w:hAnsi="Calibri"/>
          <w:b/>
          <w:color w:val="1A2010"/>
          <w:sz w:val="22"/>
        </w:rPr>
        <w:t>Trusting Teams</w:t>
      </w:r>
    </w:p>
    <w:p>
      <w:pPr>
        <w:spacing w:before="0" w:after="40"/>
      </w:pPr>
      <w:r>
        <w:rPr>
          <w:rFonts w:ascii="Calibri" w:hAnsi="Calibri"/>
          <w:b/>
          <w:color w:val="DC2626"/>
          <w:sz w:val="28"/>
        </w:rPr>
        <w:t>2</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1102"/>
            <w:shd w:fill="DC2626" w:val="clear"/>
          </w:tcPr>
          <w:p>
            <w:pPr>
              <w:spacing w:before="0" w:after="0"/>
            </w:pPr>
            <w:r>
              <w:rPr>
                <w:rFonts w:ascii="Calibri" w:hAnsi="Calibri"/>
                <w:b w:val="0"/>
                <w:color w:val="1A2010"/>
                <w:sz w:val="4"/>
              </w:rPr>
            </w:r>
          </w:p>
        </w:tc>
        <w:tc>
          <w:tcPr>
            <w:tcW w:type="dxa" w:w="4409"/>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Trusting Teams (0/2): The workforce has been cut from over 7,000 employees to 1,418, representing successive rounds of layoffs under multiple leadership regimes [2]. The company announced further 'organization changes' in 2025 with new executive leadership appointments, suggesting continued instability at the top [3]. This level of persistent restructuring creates a fear-based environment where employees focus on self-preservation rather than advancing the company's cause. No evidence of employee empowerment or exceptional retention metrics.</w:t>
      </w:r>
    </w:p>
    <w:p>
      <w:pPr>
        <w:spacing w:before="200" w:after="40"/>
      </w:pPr>
      <w:r>
        <w:rPr>
          <w:rFonts w:ascii="Calibri" w:hAnsi="Calibri"/>
          <w:b/>
          <w:color w:val="1A2010"/>
          <w:sz w:val="22"/>
        </w:rPr>
        <w:t>Worthy Rivals</w:t>
      </w:r>
    </w:p>
    <w:p>
      <w:pPr>
        <w:spacing w:before="0" w:after="40"/>
      </w:pPr>
      <w:r>
        <w:rPr>
          <w:rFonts w:ascii="Calibri" w:hAnsi="Calibri"/>
          <w:b/>
          <w:color w:val="DC2626"/>
          <w:sz w:val="28"/>
        </w:rPr>
        <w:t>3</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1654"/>
            <w:shd w:fill="DC2626" w:val="clear"/>
          </w:tcPr>
          <w:p>
            <w:pPr>
              <w:spacing w:before="0" w:after="0"/>
            </w:pPr>
            <w:r>
              <w:rPr>
                <w:rFonts w:ascii="Calibri" w:hAnsi="Calibri"/>
                <w:b w:val="0"/>
                <w:color w:val="1A2010"/>
                <w:sz w:val="4"/>
              </w:rPr>
            </w:r>
          </w:p>
        </w:tc>
        <w:tc>
          <w:tcPr>
            <w:tcW w:type="dxa" w:w="3858"/>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Worthy Rivals (0/1): No evidence that 3D Systems adopts an infinite competitive mindset. The company's communications focus on being 'the leading additive manufacturing solutions partner' — language oriented toward winning rather than self-improvement [3]. No management commentary was found referencing learning from competitors like HP, Stratasys, or Desktop Metal, or using their strengths as motivation to improve.</w:t>
      </w:r>
    </w:p>
    <w:p>
      <w:pPr>
        <w:spacing w:before="200" w:after="40"/>
      </w:pPr>
      <w:r>
        <w:rPr>
          <w:rFonts w:ascii="Calibri" w:hAnsi="Calibri"/>
          <w:b/>
          <w:color w:val="1A2010"/>
          <w:sz w:val="22"/>
        </w:rPr>
        <w:t>Existential Flexibility</w:t>
      </w:r>
    </w:p>
    <w:p>
      <w:pPr>
        <w:spacing w:before="0" w:after="40"/>
      </w:pPr>
      <w:r>
        <w:rPr>
          <w:rFonts w:ascii="Calibri" w:hAnsi="Calibri"/>
          <w:b/>
          <w:color w:val="B8860B"/>
          <w:sz w:val="28"/>
        </w:rPr>
        <w:t>6</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307"/>
            <w:shd w:fill="B8860B" w:val="clear"/>
          </w:tcPr>
          <w:p>
            <w:pPr>
              <w:spacing w:before="0" w:after="0"/>
            </w:pPr>
            <w:r>
              <w:rPr>
                <w:rFonts w:ascii="Calibri" w:hAnsi="Calibri"/>
                <w:b w:val="0"/>
                <w:color w:val="1A2010"/>
                <w:sz w:val="4"/>
              </w:rPr>
            </w:r>
          </w:p>
        </w:tc>
        <w:tc>
          <w:tcPr>
            <w:tcW w:type="dxa" w:w="2205"/>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Existential Flexibility (1/2): 3D Systems has shown some strategic adaptation by divesting non-core software businesses (Cimatron, GibbsCAM) in 2025 and refocusing on healthcare and industrial additive manufacturing [1]. The Healthcare Solutions segment grew 21% in Q1 2026, suggesting this strategic refocus may be bearing fruit. However, these moves are incremental contraction rather than transformative reinvention — the company is narrowing its scope in response to competitive pressure and financial necessity, not proactively pursuing a new vision.</w:t>
      </w:r>
    </w:p>
    <w:p>
      <w:pPr>
        <w:spacing w:before="200" w:after="40"/>
      </w:pPr>
      <w:r>
        <w:rPr>
          <w:rFonts w:ascii="Calibri" w:hAnsi="Calibri"/>
          <w:b/>
          <w:color w:val="1A2010"/>
          <w:sz w:val="22"/>
        </w:rPr>
        <w:t>Courage To Lead</w:t>
      </w:r>
    </w:p>
    <w:p>
      <w:pPr>
        <w:spacing w:before="0" w:after="40"/>
      </w:pPr>
      <w:r>
        <w:rPr>
          <w:rFonts w:ascii="Calibri" w:hAnsi="Calibri"/>
          <w:b/>
          <w:color w:val="B8860B"/>
          <w:sz w:val="28"/>
        </w:rPr>
        <w:t>6</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307"/>
            <w:shd w:fill="B8860B" w:val="clear"/>
          </w:tcPr>
          <w:p>
            <w:pPr>
              <w:spacing w:before="0" w:after="0"/>
            </w:pPr>
            <w:r>
              <w:rPr>
                <w:rFonts w:ascii="Calibri" w:hAnsi="Calibri"/>
                <w:b w:val="0"/>
                <w:color w:val="1A2010"/>
                <w:sz w:val="4"/>
              </w:rPr>
            </w:r>
          </w:p>
        </w:tc>
        <w:tc>
          <w:tcPr>
            <w:tcW w:type="dxa" w:w="2205"/>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Courage to Lead (1/2): CEO Graves made the difficult decision to divest profitable software businesses to sharpen focus on core additive manufacturing, and the company repurchased shares at $1.87 during a period of stock price weakness, showing some conviction [1][4]. The ongoing restructuring to reduce operating costs demonstrates willingness to make tough choices. However, these decisions appear driven by financial necessity rather than a larger purpose — the company needed cash from divestitures to manage its convertible debt load, making these pragmatic rather than courageous moves.</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INVESTMENT THESIS</w:t>
            </w:r>
          </w:p>
        </w:tc>
      </w:tr>
    </w:tbl>
    <w:p>
      <w:pPr>
        <w:spacing w:after="120"/>
      </w:pPr>
      <w:r>
        <w:rPr>
          <w:rFonts w:ascii="Calibri" w:hAnsi="Calibri"/>
          <w:b w:val="0"/>
          <w:color w:val="3A4A28"/>
          <w:sz w:val="20"/>
        </w:rPr>
        <w:t>3D Systems is a pioneer in additive manufacturing showing mixed signals of stabilization. Q2 2026 revenue of $94.6M was essentially flat YoY (-0.3%, +1.4% ex-divestitures), with encouraging pockets: printer hardware sales surged 40% with double-digit growth in both metal and polymer systems, Healthcare grew 6.8% (Med Tech +20%, Dental +3%), and Q3 guidance of $96-99M signals modest improvement [1]. The $30.8M convertible note-for-equity swap reduced near-term debt maturity risk. The strategic refocus on healthcare (surgical guides, dental, regenerative medicine) and high-value industrial applications positions DDD in markets where additive manufacturing adoption is accelerating. At $3.43, the stock trades at a significant discount to the pioneer franchise value and analyst consensus targets.</w:t>
      </w:r>
    </w:p>
    <w:p>
      <w:pPr>
        <w:spacing w:after="120"/>
      </w:pPr>
      <w:r>
        <w:rPr>
          <w:rFonts w:ascii="Calibri" w:hAnsi="Calibri"/>
          <w:b w:val="0"/>
          <w:color w:val="3A4A28"/>
          <w:sz w:val="20"/>
        </w:rPr>
        <w:t>The bear case is severe: revenue has declined approximately 37% over five years from $615.6M in 2021, representing a -8.8% CAGR with no clear inflection — Q2 2026 was still flat YoY on a reported basis [2]. The Q2 net loss of $12.9M and adjusted EBITDA of -$0.8M confirm that operating profitability remains elusive; prior GAAP profits were entirely from one-time divestiture gains now cycling off. The $30.8M convertible note-for-equity swap reduced debt but diluted shareholders with 16.6M new shares, and D/E has risen to 87%. With only 1,418 employees and an R&amp;D budget stretched thin, DDD faces an innovator's dilemma: it lacks the scale to compete with HP's multi-billion-dollar 3D printing push while being too large to niche down effectively. Infrastructure scores just 3/10 on operating metrics, dragging the overall IOWN score to 38 (SELL).</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KEY CATALYSTS</w:t>
            </w:r>
          </w:p>
        </w:tc>
      </w:tr>
    </w:tbl>
    <w:p>
      <w:pPr>
        <w:spacing w:before="40" w:after="40"/>
        <w:ind w:left="283"/>
      </w:pPr>
      <w:r>
        <w:rPr>
          <w:rFonts w:ascii="Calibri" w:hAnsi="Calibri"/>
          <w:b/>
          <w:color w:val="4A6B25"/>
          <w:sz w:val="20"/>
        </w:rPr>
        <w:t xml:space="preserve">1. </w:t>
      </w:r>
      <w:r>
        <w:rPr>
          <w:rFonts w:ascii="Calibri" w:hAnsi="Calibri"/>
          <w:b w:val="0"/>
          <w:color w:val="3A4A28"/>
          <w:sz w:val="20"/>
        </w:rPr>
        <w:t>Healthcare segment sustaining growth with Q2 Med Tech up 20%+ and Dental up 3%, driven by dental digitization, surgical planning adoption, and regenerative medicine breakthroughs — this is the company's largest and strongest segment [1]</w:t>
      </w:r>
    </w:p>
    <w:p>
      <w:pPr>
        <w:spacing w:before="40" w:after="40"/>
        <w:ind w:left="283"/>
      </w:pPr>
      <w:r>
        <w:rPr>
          <w:rFonts w:ascii="Calibri" w:hAnsi="Calibri"/>
          <w:b/>
          <w:color w:val="4A6B25"/>
          <w:sz w:val="20"/>
        </w:rPr>
        <w:t xml:space="preserve">2. </w:t>
      </w:r>
      <w:r>
        <w:rPr>
          <w:rFonts w:ascii="Calibri" w:hAnsi="Calibri"/>
          <w:b w:val="0"/>
          <w:color w:val="3A4A28"/>
          <w:sz w:val="20"/>
        </w:rPr>
        <w:t>Printer hardware sales surging 40% in Q2 2026 with double-digit growth in both metal and polymer systems signals potential inflection in equipment demand as customers invest in next-gen additive manufacturing capacity [1]</w:t>
      </w:r>
    </w:p>
    <w:p>
      <w:pPr>
        <w:spacing w:before="40" w:after="40"/>
        <w:ind w:left="283"/>
      </w:pPr>
      <w:r>
        <w:rPr>
          <w:rFonts w:ascii="Calibri" w:hAnsi="Calibri"/>
          <w:b/>
          <w:color w:val="4A6B25"/>
          <w:sz w:val="20"/>
        </w:rPr>
        <w:t xml:space="preserve">3. </w:t>
      </w:r>
      <w:r>
        <w:rPr>
          <w:rFonts w:ascii="Calibri" w:hAnsi="Calibri"/>
          <w:b w:val="0"/>
          <w:color w:val="3A4A28"/>
          <w:sz w:val="20"/>
        </w:rPr>
        <w:t>AI data center buildout driving demand for 3D-printed cooling components, heat exchangers, and custom hardware — a new end market that could add incremental industrial revenue alongside the $30.8M convertible debt reduction improving balance sheet health</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DC2626"/>
            </w:tcBorders>
          </w:tcPr>
          <w:p>
            <w:pPr>
              <w:spacing w:before="240" w:after="80"/>
            </w:pPr>
            <w:r>
              <w:rPr>
                <w:rFonts w:ascii="Calibri" w:hAnsi="Calibri"/>
                <w:b/>
                <w:color w:val="6E8450"/>
                <w:sz w:val="17"/>
              </w:rPr>
              <w:t>KEY RISKS</w:t>
            </w:r>
          </w:p>
        </w:tc>
      </w:tr>
    </w:tbl>
    <w:p>
      <w:pPr>
        <w:spacing w:before="40" w:after="40"/>
        <w:ind w:left="283"/>
      </w:pPr>
      <w:r>
        <w:rPr>
          <w:rFonts w:ascii="Calibri" w:hAnsi="Calibri"/>
          <w:b/>
          <w:color w:val="4A6B25"/>
          <w:sz w:val="20"/>
        </w:rPr>
        <w:t xml:space="preserve">1. </w:t>
      </w:r>
      <w:r>
        <w:rPr>
          <w:rFonts w:ascii="Calibri" w:hAnsi="Calibri"/>
          <w:b w:val="0"/>
          <w:color w:val="3A4A28"/>
          <w:sz w:val="20"/>
        </w:rPr>
        <w:t>Five-plus years of revenue decline at -8.8% CAGR with Q2 2026 still flat YoY on a reported basis suggests structural demand erosion — printer hardware surge (+40%) has not yet translated to total revenue growth due to services and materials mix headwinds [1]</w:t>
      </w:r>
    </w:p>
    <w:p>
      <w:pPr>
        <w:spacing w:before="40" w:after="40"/>
        <w:ind w:left="283"/>
      </w:pPr>
      <w:r>
        <w:rPr>
          <w:rFonts w:ascii="Calibri" w:hAnsi="Calibri"/>
          <w:b/>
          <w:color w:val="4A6B25"/>
          <w:sz w:val="20"/>
        </w:rPr>
        <w:t xml:space="preserve">2. </w:t>
      </w:r>
      <w:r>
        <w:rPr>
          <w:rFonts w:ascii="Calibri" w:hAnsi="Calibri"/>
          <w:b w:val="0"/>
          <w:color w:val="3A4A28"/>
          <w:sz w:val="20"/>
        </w:rPr>
        <w:t>Continued operating losses (Q2 net loss $12.9M, adjusted EBITDA -$0.8M) with cash declining from $790M (2021) to approximately $85M and D/E rising to 87% after the convertible note-for-equity swap — the company may need additional dilutive capital raises [2]</w:t>
      </w:r>
    </w:p>
    <w:p>
      <w:pPr>
        <w:spacing w:before="40" w:after="40"/>
        <w:ind w:left="283"/>
      </w:pPr>
      <w:r>
        <w:rPr>
          <w:rFonts w:ascii="Calibri" w:hAnsi="Calibri"/>
          <w:b/>
          <w:color w:val="4A6B25"/>
          <w:sz w:val="20"/>
        </w:rPr>
        <w:t xml:space="preserve">3. </w:t>
      </w:r>
      <w:r>
        <w:rPr>
          <w:rFonts w:ascii="Calibri" w:hAnsi="Calibri"/>
          <w:b w:val="0"/>
          <w:color w:val="3A4A28"/>
          <w:sz w:val="20"/>
        </w:rPr>
        <w:t>Competitive pressure from HP (Multi Jet Fusion platform with massive R&amp;D budget), Stratasys, and new entrants threatens market share in both healthcare and industrial segments where 3D Systems' 1,418 employees lack scale advantages</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AI RESILIENCE (25%)</w:t>
            </w:r>
          </w:p>
        </w:tc>
      </w:tr>
    </w:tbl>
    <w:p>
      <w:pPr>
        <w:spacing w:before="200" w:after="40"/>
      </w:pPr>
      <w:r>
        <w:rPr>
          <w:rFonts w:ascii="Calibri" w:hAnsi="Calibri"/>
          <w:b/>
          <w:color w:val="1A2010"/>
          <w:sz w:val="22"/>
        </w:rPr>
        <w:t>AI Resilience</w:t>
      </w:r>
      <w:r>
        <w:rPr>
          <w:rFonts w:ascii="Calibri" w:hAnsi="Calibri"/>
          <w:b w:val="0"/>
          <w:color w:val="1A2010"/>
          <w:sz w:val="22"/>
        </w:rPr>
        <w:t xml:space="preserve">  </w:t>
      </w:r>
      <w:r>
        <w:rPr>
          <w:rFonts w:ascii="Calibri" w:hAnsi="Calibri"/>
          <w:b/>
          <w:color w:val="B8860B"/>
          <w:sz w:val="16"/>
        </w:rPr>
        <w:t xml:space="preserve"> MODERATE </w:t>
      </w:r>
    </w:p>
    <w:p>
      <w:pPr>
        <w:spacing w:before="0" w:after="40"/>
      </w:pPr>
      <w:r>
        <w:rPr>
          <w:rFonts w:ascii="Calibri" w:hAnsi="Calibri"/>
          <w:b/>
          <w:color w:val="16A34A"/>
          <w:sz w:val="28"/>
        </w:rPr>
        <w:t>7</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858"/>
            <w:shd w:fill="16A34A" w:val="clear"/>
          </w:tcPr>
          <w:p>
            <w:pPr>
              <w:spacing w:before="0" w:after="0"/>
            </w:pPr>
            <w:r>
              <w:rPr>
                <w:rFonts w:ascii="Calibri" w:hAnsi="Calibri"/>
                <w:b w:val="0"/>
                <w:color w:val="1A2010"/>
                <w:sz w:val="4"/>
              </w:rPr>
            </w:r>
          </w:p>
        </w:tc>
        <w:tc>
          <w:tcPr>
            <w:tcW w:type="dxa" w:w="1654"/>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AI Risk Protection (7/9): 3D Systems' core business — manufacturing and selling physical 3D printers, materials, and on-demand printed parts — is inherently protected from AI substitution. AI cannot replace the need for physical additive manufacturing hardware, proprietary photopolymers, metals powders, or the physical production of surgical guides and dental implants [1][3]. The business involves deep materials science, regulatory-cleared medical devices (FDA 510(k) for surgical guides), and physical infrastructure that AI structurally cannot displace. However, DDD is not fully immune: AI-driven generative design tools from competitors (Autodesk, Siemens) could reduce the need for 3D Systems' design software, and larger players like HP could leverage AI to gain manufacturing efficiency advantages. AI Opportunity (0/1): No quantifiable AI-driven revenue. 3D Systems references AI infrastructure (data center cooling components) as an end market for its printed parts, but does not generate revenue from AI products or services directly [1].</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FAITH ALIGNMENT — INSPIRE INSIGHT</w:t>
            </w:r>
          </w:p>
        </w:tc>
      </w:tr>
    </w:tbl>
    <w:p>
      <w:pPr>
        <w:spacing w:after="40"/>
      </w:pPr>
      <w:r>
        <w:rPr>
          <w:rFonts w:ascii="Calibri" w:hAnsi="Calibri"/>
          <w:b w:val="0"/>
          <w:color w:val="6E8450"/>
          <w:sz w:val="22"/>
        </w:rPr>
        <w:t xml:space="preserve">Inspire Impact Score:  </w:t>
      </w:r>
      <w:r>
        <w:rPr>
          <w:rFonts w:ascii="Calibri" w:hAnsi="Calibri"/>
          <w:b/>
          <w:color w:val="16A34A"/>
          <w:sz w:val="28"/>
        </w:rPr>
        <w:t>46</w:t>
      </w:r>
      <w:r>
        <w:rPr>
          <w:rFonts w:ascii="Calibri" w:hAnsi="Calibri"/>
          <w:b/>
          <w:color w:val="B8860B"/>
          <w:sz w:val="20"/>
        </w:rPr>
        <w:t xml:space="preserve">    ALIGNED</w:t>
      </w:r>
    </w:p>
    <w:p>
      <w:pPr>
        <w:spacing w:before="80" w:after="40"/>
      </w:pPr>
      <w:r>
        <w:rPr>
          <w:rFonts w:ascii="Calibri" w:hAnsi="Calibri"/>
          <w:b/>
          <w:color w:val="6E8450"/>
          <w:sz w:val="18"/>
        </w:rPr>
        <w:t xml:space="preserve">Positive: </w:t>
      </w:r>
      <w:r>
        <w:rPr>
          <w:rFonts w:ascii="Calibri" w:hAnsi="Calibri"/>
          <w:b/>
          <w:color w:val="16A34A"/>
          <w:sz w:val="17"/>
        </w:rPr>
        <w:t xml:space="preserve"> Business Ethics </w:t>
      </w:r>
      <w:r>
        <w:rPr>
          <w:rFonts w:ascii="Calibri" w:hAnsi="Calibri"/>
          <w:b w:val="0"/>
          <w:color w:val="9DAF88"/>
          <w:sz w:val="17"/>
        </w:rPr>
        <w:t xml:space="preserve">  ·  </w:t>
      </w:r>
      <w:r>
        <w:rPr>
          <w:rFonts w:ascii="Calibri" w:hAnsi="Calibri"/>
          <w:b/>
          <w:color w:val="16A34A"/>
          <w:sz w:val="17"/>
        </w:rPr>
        <w:t xml:space="preserve"> Business Resilience </w:t>
      </w:r>
      <w:r>
        <w:rPr>
          <w:rFonts w:ascii="Calibri" w:hAnsi="Calibri"/>
          <w:b w:val="0"/>
          <w:color w:val="9DAF88"/>
          <w:sz w:val="17"/>
        </w:rPr>
        <w:t xml:space="preserve">  ·  </w:t>
      </w:r>
      <w:r>
        <w:rPr>
          <w:rFonts w:ascii="Calibri" w:hAnsi="Calibri"/>
          <w:b/>
          <w:color w:val="16A34A"/>
          <w:sz w:val="17"/>
        </w:rPr>
        <w:t xml:space="preserve"> Customer Welfare </w:t>
      </w:r>
      <w:r>
        <w:rPr>
          <w:rFonts w:ascii="Calibri" w:hAnsi="Calibri"/>
          <w:b w:val="0"/>
          <w:color w:val="9DAF88"/>
          <w:sz w:val="17"/>
        </w:rPr>
        <w:t xml:space="preserve">  ·  </w:t>
      </w:r>
      <w:r>
        <w:rPr>
          <w:rFonts w:ascii="Calibri" w:hAnsi="Calibri"/>
          <w:b/>
          <w:color w:val="16A34A"/>
          <w:sz w:val="17"/>
        </w:rPr>
        <w:t xml:space="preserve"> Energy Management </w:t>
      </w:r>
      <w:r>
        <w:rPr>
          <w:rFonts w:ascii="Calibri" w:hAnsi="Calibri"/>
          <w:b w:val="0"/>
          <w:color w:val="9DAF88"/>
          <w:sz w:val="17"/>
        </w:rPr>
        <w:t xml:space="preserve">  ·  </w:t>
      </w:r>
      <w:r>
        <w:rPr>
          <w:rFonts w:ascii="Calibri" w:hAnsi="Calibri"/>
          <w:b/>
          <w:color w:val="16A34A"/>
          <w:sz w:val="17"/>
        </w:rPr>
        <w:t xml:space="preserve"> Ethical Labor Practices </w:t>
      </w:r>
      <w:r>
        <w:rPr>
          <w:rFonts w:ascii="Calibri" w:hAnsi="Calibri"/>
          <w:b w:val="0"/>
          <w:color w:val="9DAF88"/>
          <w:sz w:val="17"/>
        </w:rPr>
        <w:t xml:space="preserve">  ·  </w:t>
      </w:r>
      <w:r>
        <w:rPr>
          <w:rFonts w:ascii="Calibri" w:hAnsi="Calibri"/>
          <w:b/>
          <w:color w:val="16A34A"/>
          <w:sz w:val="17"/>
        </w:rPr>
        <w:t xml:space="preserve"> Ethical Supply Chain Management </w:t>
      </w:r>
      <w:r>
        <w:rPr>
          <w:rFonts w:ascii="Calibri" w:hAnsi="Calibri"/>
          <w:b w:val="0"/>
          <w:color w:val="9DAF88"/>
          <w:sz w:val="17"/>
        </w:rPr>
        <w:t xml:space="preserve">  ·  </w:t>
      </w:r>
      <w:r>
        <w:rPr>
          <w:rFonts w:ascii="Calibri" w:hAnsi="Calibri"/>
          <w:b/>
          <w:color w:val="16A34A"/>
          <w:sz w:val="17"/>
        </w:rPr>
        <w:t xml:space="preserve"> GHG Emissions </w:t>
      </w:r>
      <w:r>
        <w:rPr>
          <w:rFonts w:ascii="Calibri" w:hAnsi="Calibri"/>
          <w:b w:val="0"/>
          <w:color w:val="9DAF88"/>
          <w:sz w:val="17"/>
        </w:rPr>
        <w:t xml:space="preserve">  ·  </w:t>
      </w:r>
      <w:r>
        <w:rPr>
          <w:rFonts w:ascii="Calibri" w:hAnsi="Calibri"/>
          <w:b/>
          <w:color w:val="16A34A"/>
          <w:sz w:val="17"/>
        </w:rPr>
        <w:t xml:space="preserve"> Hiring Ethics </w:t>
      </w:r>
      <w:r>
        <w:rPr>
          <w:rFonts w:ascii="Calibri" w:hAnsi="Calibri"/>
          <w:b w:val="0"/>
          <w:color w:val="9DAF88"/>
          <w:sz w:val="17"/>
        </w:rPr>
        <w:t xml:space="preserve">  ·  </w:t>
      </w:r>
      <w:r>
        <w:rPr>
          <w:rFonts w:ascii="Calibri" w:hAnsi="Calibri"/>
          <w:b/>
          <w:color w:val="16A34A"/>
          <w:sz w:val="17"/>
        </w:rPr>
        <w:t xml:space="preserve"> Product Sustainability </w:t>
      </w:r>
      <w:r>
        <w:rPr>
          <w:rFonts w:ascii="Calibri" w:hAnsi="Calibri"/>
          <w:b w:val="0"/>
          <w:color w:val="9DAF88"/>
          <w:sz w:val="17"/>
        </w:rPr>
        <w:t xml:space="preserve">  ·  </w:t>
      </w:r>
      <w:r>
        <w:rPr>
          <w:rFonts w:ascii="Calibri" w:hAnsi="Calibri"/>
          <w:b/>
          <w:color w:val="16A34A"/>
          <w:sz w:val="17"/>
        </w:rPr>
        <w:t xml:space="preserve"> Regulatory Adherence </w:t>
      </w:r>
      <w:r>
        <w:rPr>
          <w:rFonts w:ascii="Calibri" w:hAnsi="Calibri"/>
          <w:b w:val="0"/>
          <w:color w:val="9DAF88"/>
          <w:sz w:val="17"/>
        </w:rPr>
        <w:t xml:space="preserve">  ·  </w:t>
      </w:r>
      <w:r>
        <w:rPr>
          <w:rFonts w:ascii="Calibri" w:hAnsi="Calibri"/>
          <w:b/>
          <w:color w:val="16A34A"/>
          <w:sz w:val="17"/>
        </w:rPr>
        <w:t xml:space="preserve"> Waste and Hazmat Management </w:t>
      </w:r>
    </w:p>
    <w:p>
      <w:pPr>
        <w:spacing w:before="120"/>
      </w:pPr>
      <w:r>
        <w:rPr>
          <w:rFonts w:ascii="Calibri" w:hAnsi="Calibri"/>
          <w:b w:val="0"/>
          <w:color w:val="9DAF88"/>
          <w:sz w:val="15"/>
        </w:rPr>
        <w:t>Source: Inspire Insight</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RESOURCES</w:t>
            </w:r>
          </w:p>
        </w:tc>
      </w:tr>
    </w:tbl>
    <w:p>
      <w:pPr>
        <w:spacing w:before="20" w:after="20"/>
        <w:ind w:left="170"/>
      </w:pPr>
      <w:r>
        <w:rPr>
          <w:rFonts w:ascii="Calibri" w:hAnsi="Calibri"/>
          <w:b/>
          <w:color w:val="4A6B25"/>
          <w:sz w:val="15"/>
        </w:rPr>
        <w:t xml:space="preserve">1. </w:t>
      </w:r>
      <w:r>
        <w:rPr>
          <w:rFonts w:ascii="Calibri" w:hAnsi="Calibri"/>
          <w:b w:val="0"/>
          <w:color w:val="3A4A28"/>
          <w:sz w:val="17"/>
        </w:rPr>
        <w:t>3D Systems Q2 2026 Earnings Release — Revenue $94.6M (-0.3% YoY, +1.4% ex-divestitures), Net Loss $12.9M, Printer Sales +40%, Healthcare +6.8%, Q3 Guidance $96-99M, August 2026; Q1 2026: Revenue $95.5M, May 2026</w:t>
      </w:r>
    </w:p>
    <w:p>
      <w:pPr>
        <w:spacing w:before="20" w:after="20"/>
        <w:ind w:left="170"/>
      </w:pPr>
      <w:r>
        <w:rPr>
          <w:rFonts w:ascii="Calibri" w:hAnsi="Calibri"/>
          <w:b/>
          <w:color w:val="4A6B25"/>
          <w:sz w:val="15"/>
        </w:rPr>
        <w:t xml:space="preserve">2. </w:t>
      </w:r>
      <w:r>
        <w:rPr>
          <w:rFonts w:ascii="Calibri" w:hAnsi="Calibri"/>
          <w:b w:val="0"/>
          <w:color w:val="3A4A28"/>
          <w:sz w:val="17"/>
        </w:rPr>
        <w:t>StockAnalysis / Yahoo Finance — DDD Financial Data: D/E 87%, Stock Price $3.43, Avg Volume 5.0M, $30.8M Convertible Note-for-Equity Swap, accessed August 2026</w:t>
      </w:r>
    </w:p>
    <w:p>
      <w:pPr>
        <w:spacing w:before="20" w:after="20"/>
        <w:ind w:left="170"/>
      </w:pPr>
      <w:r>
        <w:rPr>
          <w:rFonts w:ascii="Calibri" w:hAnsi="Calibri"/>
          <w:b/>
          <w:color w:val="4A6B25"/>
          <w:sz w:val="15"/>
        </w:rPr>
        <w:t xml:space="preserve">3. </w:t>
      </w:r>
      <w:r>
        <w:rPr>
          <w:rFonts w:ascii="Calibri" w:hAnsi="Calibri"/>
          <w:b w:val="0"/>
          <w:color w:val="3A4A28"/>
          <w:sz w:val="17"/>
        </w:rPr>
        <w:t>3D Systems Corporation Website — Mission, Culture, and Press Releases, 2025-2026</w:t>
      </w:r>
    </w:p>
    <w:p>
      <w:pPr>
        <w:spacing w:before="20" w:after="20"/>
        <w:ind w:left="170"/>
      </w:pPr>
      <w:r>
        <w:rPr>
          <w:rFonts w:ascii="Calibri" w:hAnsi="Calibri"/>
          <w:b/>
          <w:color w:val="4A6B25"/>
          <w:sz w:val="15"/>
        </w:rPr>
        <w:t xml:space="preserve">4. </w:t>
      </w:r>
      <w:r>
        <w:rPr>
          <w:rFonts w:ascii="Calibri" w:hAnsi="Calibri"/>
          <w:b w:val="0"/>
          <w:color w:val="3A4A28"/>
          <w:sz w:val="17"/>
        </w:rPr>
        <w:t>MarketBeat — DDD Insider Trading Activity and Share Repurchase, 2025-2026</w:t>
      </w:r>
    </w:p>
    <w:p>
      <w:pPr>
        <w:spacing w:before="400"/>
        <w:jc w:val="center"/>
      </w:pPr>
      <w:r>
        <w:rPr>
          <w:rFonts w:ascii="Calibri" w:hAnsi="Calibri"/>
          <w:b w:val="0"/>
          <w:color w:val="9DAF88"/>
          <w:sz w:val="16"/>
        </w:rPr>
        <w:t>Paradiem, LLC dba Intentional Ownership (“IOWN”) is a registered investment advisor. The information provided is for educational and informational purposes only and does not constitute investment advice.</w:t>
      </w:r>
    </w:p>
    <w:sectPr w:rsidR="00FC693F" w:rsidRPr="0006063C" w:rsidSect="00034616">
      <w:pgSz w:w="12240" w:h="15840"/>
      <w:pgMar w:top="720" w:right="720" w:bottom="720" w:left="72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