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DEFT</w:t>
      </w:r>
      <w:r>
        <w:rPr>
          <w:rFonts w:ascii="Calibri" w:hAnsi="Calibri"/>
          <w:b/>
          <w:color w:val="1A2010"/>
          <w:sz w:val="40"/>
        </w:rPr>
        <w:t xml:space="preserve">  DeFi Technologies Inc.</w:t>
      </w:r>
    </w:p>
    <w:p>
      <w:pPr>
        <w:spacing w:after="120"/>
      </w:pPr>
      <w:r>
        <w:rPr>
          <w:rFonts w:ascii="Calibri" w:hAnsi="Calibri"/>
          <w:b/>
          <w:color w:val="6E8450"/>
          <w:sz w:val="18"/>
        </w:rPr>
        <w:t>GROWTH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Digital Assets · NASDAQ · Canada</w:t>
      </w:r>
    </w:p>
    <w:p>
      <w:pPr>
        <w:spacing w:after="80"/>
      </w:pPr>
      <w:r>
        <w:rPr>
          <w:rFonts w:ascii="Calibri" w:hAnsi="Calibri"/>
          <w:b w:val="0"/>
          <w:color w:val="3A4A28"/>
          <w:sz w:val="20"/>
        </w:rPr>
        <w:t>DeFi Technologies Inc. bridges traditional capital markets and decentralized finance through multiple business lines: Valour (102 regulated exchange-traded products with $471.5M AUM across major European exchanges, down from $1B+ peak), Stillman Digital (institutional-grade digital asset prime brokerage), Reflexivity Research (digital asset research), Neuronomics (quantitative trading strategies), and DeFi Alpha (internal arbitrage and trading). Q2 2026 delivered $7.8M revenue with a $2.3M operating loss amid a prolonged crypto bear market, sharply below Q1's $11.2M and FY2025's record $99.1M. CEO Johan Wattenström (appointed June 2026 following Olivier Roussy Newton's resignation) is navigating the downturn with cost-cutting, hedge fund launches, and AI-driven product development.</w:t>
      </w:r>
    </w:p>
    <w:p>
      <w:r>
        <w:rPr>
          <w:rFonts w:ascii="Calibri" w:hAnsi="Calibri"/>
          <w:b/>
          <w:color w:val="6E8450"/>
          <w:sz w:val="18"/>
        </w:rPr>
        <w:t>100 Employees · https://www.defi.tech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DeFi Technologies expanded from a startup to a diversified digital asset platform with five distinct business lines — Valour (102 regulated ETPs across European exchanges), Stillman Digital, Reflexivity Research, Neuronomics, and DeFi Alpha — representing multiple successful product launches across different verticals in under five years [1]. However, the sustainability of this expansion is now in question as Q2 2026 revenue collapsed to $7.8M from FY2025's record $99.1M pace. AI Deployment (0/2): CEO Wattenström announced plans for AI-related investment products in his August 2026 shareholder letter, but no AI-powered products are shipping and no measurable AI-driven savings have been reported [2]. Market Share (1/2): Early mover in European regulated crypto ETPs with 102 products listed on major exchanges including Euronext and Frankfurt, though AUM has declined from $1B+ to $471.5M as crypto markets contracted [1][3]. Product Pipeline (1/2): Planned hedge fund launch, Valour Custody platform rollout, and arbitrage strategy scaling announced for H2 2026, but timelines remain vague and execution is uncertain amid the bear market [2]. R&amp;D Intensity (0/1): Not a traditional R&amp;D company; no R&amp;D spending disclosures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DeFi Technologies articulates its purpose as 'bridging traditional capital markets and decentralized finance,' which is clear and identifies what the company does and for whom, but is functional rather than aspirational — it describes an activity, not a vision of a better future, and could apply to many crypto-finance companies [2]. Community Impact (0/2): No charitable programs, foundation, or community investment initiatives were identified in public filings or corporate communications. Employee Retention (0/2): CEO Olivier Roussy Newton resigned in June 2026, triggering a leadership transition to co-founder Johan Wattenström; this instability, combined with an Ontario Securities Commission management cease trade order for delayed 2025 audited financials, signals organizational turbulence rather than a trust-based culture [2][4]. Insider Buying (0/2): No meaningful net insider buying identified; the CEO resignation and OSC cease trade order restricting executive trading activity undermine any insider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DeFi Technologies' balance sheet remains a standout with D/E of just 2% and approximately $135M in cash, stablecoins, and venture portfolio value as of June 2026 [3]. Forward P/E of 10.47 is well below the 20x target. Trailing ROE of 12.91% approaches but does not reach the 15% target (2x weight for Growth) [5]. However, revenue trends have deteriorated sharply: Q2 2026 revenue was $7.8M with a $2.3M operating loss, down from Q1 2026's $11.2M (which was profitable at $4.9M net income) and dramatically below FY2025's record $99.1M, representing approximately -60% annualized decline from FY2025 levels [1][3]. Trailing profit margin remains high at approximately 50%+ due to strong FY2025 H2 results still in the window, but is rapidly deteriorating as crypto bear market persists. Revenue growth YoY is deeply negative, scoring 0.0. Liquidity floor check: 2.51M avg daily volume x $0.58 = $1.46M, passing the $1M threshold but with minimal margin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DeFi Technologies is a young, opportunity-driven company that exists to capitalize on the convergence of traditional and decentralized finance — a legitimate business thesis but not a Just Cause in Sinek's framework. Recent leadership instability (CEO resignation June 2026, regulatory filing delays, OSC cease trade order), combined with a shareholder letter focused primarily on surviving the crypto bear market and cutting costs, reveals a finite-minded organization optimizing for near-term survival rather than advancing a durable cause. The company has shown entrepreneurial agility but Q2 2026's revenue collapse and operating loss test whether the organization can endure through adverse conditions.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DeFi Technologies' stated purpose of 'bridging traditional capital markets and decentralized finance' describes a market opportunity rather than a vision of a better future that inspires sacrifice [2]. The company is primarily motivated by financial opportunity in the digital asset market, and strategic decisions — expanding ETP listings, launching arbitrage trading — are commercially driven. CEO Wattenström's August 2026 shareholder letter focused on cost-cutting and surviving the bear market, not on advancing a cause that endures beyond market cycles. There is no evidence of a deeper purpose that would survive if the crypto market permanently contracted.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of organizational instability undermine any trust assessment. CEO Olivier Roussy Newton resigned in June 2026, triggering an emergency leadership transition to co-founder Johan Wattenström [2]. The company received an Ontario Securities Commission management cease trade order after failing to file audited 2025 financials on time. Q2 2026 results showed an operating loss of $2.3M, and the CEO's shareholder letter emphasized cost-cutting during the crypto downturn. With approximately 100 employees across multiple business units and geographies, these governance disruptions and financial pressure signal a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DeFi Technologies' competitive positioning emphasizes being a regulated crypto ETP provider and capturing market share in European digital asset products, framing competition as territory to win rather than rivals to learn from [2]. Management communications focus on AUM expansion, product count, and revenue metrics — finite game language centered on market position rather than self-improvement through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DeFi Technologies has evolved from a narrow crypto-focused entity into a diversified digital asset platform with five distinct business lines spanning ETPs, prime brokerage, research, quantitative trading, and arbitrage [1]. CEO Wattenström's August 2026 plan to launch hedge funds, a custody platform, and AI-driven products represents continued strategic adaptation. However, all business lines remain within the digital asset ecosystem, so the flexibility is incremental rather than transformative — the company has not demonstrated willingness to pivot away from crypto if the thesis permanently deteriorated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DeFi Technologies demonstrated genuine courage by building a regulated crypto ETP platform across European exchanges at a time when institutional crypto products faced significant skepticism from regulators and traditional finance [1]. Launching 100+ products and growing to $1B+ peak AUM required persisting through the 2022 crypto winter. However, the recent CEO resignation, filing delays, and the tone of the August 2026 shareholder letter — emphasizing cost-cutting and 'navigating the bear market' — suggest the company may lack the institutional depth to maintain courageous long-term positioning through sustained adversity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DeFi Technologies at 10.47x forward earnings with $135M in cash and portfolio value against just 2% D/E represents deep value exposure to a potential crypto market recovery. The Valour ETP business — 102 regulated products with $471.5M AUM across major European exchanges — provides a recurring-fee infrastructure layer that would scale rapidly with digital asset price appreciation [1][3]. Stillman Digital's H1 2026 revenue grew 30.2% YoY to $5.4M even during the bear market, demonstrating some cyclical resilience in the prime brokerage unit. If crypto markets recover, the company's operating leverage could produce outsized earnings growth similar to FY2025's $62.7M net income on $99.1M revenue (63% margin) [1].</w:t>
      </w:r>
    </w:p>
    <w:p>
      <w:pPr>
        <w:spacing w:after="120"/>
      </w:pPr>
      <w:r>
        <w:rPr>
          <w:rFonts w:ascii="Calibri" w:hAnsi="Calibri"/>
          <w:b w:val="0"/>
          <w:color w:val="3A4A28"/>
          <w:sz w:val="20"/>
        </w:rPr>
        <w:t>The bear case is severe: Q2 2026 revenue collapsed to $7.8M with a $2.3M operating loss, down sequentially from Q1's $11.2M and dramatically below FY2025's quarterly run-rate of ~$25M, confirming that FY2025 was a cyclical peak driven by favorable crypto conditions [3]. Valour AUM declined from $1B+ to $471.5M as digital asset markets contracted, directly compressing management fee income. Governance risk is elevated — CEO Newton's resignation in June 2026, the OSC management cease trade order for delayed financial filings, and a stock price below $1 raise NASDAQ listing compliance concerns that could force dilutive capital raises [2][4]. At $0.58 per share with 390M shares outstanding, the $225M market cap is a fraction of the $135M balance sheet, but the business model's extreme crypto-correlation means revenue could approach zero in a sustained bear market. The Inspire Impact Score of 0 (MIXED) with no positive or negative attributions reflects Inspire's limited coverage of this nascent digital asset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Crypto market recovery driving Valour AUM back toward $1B+ and restoring DeFi Alpha arbitrage revenue streams, potentially recreating FY2025's operating leverage of 63% net margin on scaling revenue [1]</w:t>
      </w:r>
    </w:p>
    <w:p>
      <w:pPr>
        <w:spacing w:before="40" w:after="40"/>
        <w:ind w:left="283"/>
      </w:pPr>
      <w:r>
        <w:rPr>
          <w:rFonts w:ascii="Calibri" w:hAnsi="Calibri"/>
          <w:b/>
          <w:color w:val="4A6B25"/>
          <w:sz w:val="20"/>
        </w:rPr>
        <w:t xml:space="preserve">2. </w:t>
      </w:r>
      <w:r>
        <w:rPr>
          <w:rFonts w:ascii="Calibri" w:hAnsi="Calibri"/>
          <w:b w:val="0"/>
          <w:color w:val="3A4A28"/>
          <w:sz w:val="20"/>
        </w:rPr>
        <w:t>Successful launch of planned hedge fund and Valour Custody platform in H2 2026, diversifying revenue beyond crypto-price-sensitive ETP management fees and arbitrage trading [2]</w:t>
      </w:r>
    </w:p>
    <w:p>
      <w:pPr>
        <w:spacing w:before="40" w:after="40"/>
        <w:ind w:left="283"/>
      </w:pPr>
      <w:r>
        <w:rPr>
          <w:rFonts w:ascii="Calibri" w:hAnsi="Calibri"/>
          <w:b/>
          <w:color w:val="4A6B25"/>
          <w:sz w:val="20"/>
        </w:rPr>
        <w:t xml:space="preserve">3. </w:t>
      </w:r>
      <w:r>
        <w:rPr>
          <w:rFonts w:ascii="Calibri" w:hAnsi="Calibri"/>
          <w:b w:val="0"/>
          <w:color w:val="3A4A28"/>
          <w:sz w:val="20"/>
        </w:rPr>
        <w:t>Resolution of OSC management cease trade order and stable governance under CEO Wattenström removing the regulatory and leadership overhang suppressing valuation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is extremely correlated to crypto market cycles — Q2 2026's $7.8M revenue and $2.3M operating loss vs FY2025's $99.1M and $62.7M net income demonstrates how quickly the business model deteriorates when digital asset prices decline [1][3]</w:t>
      </w:r>
    </w:p>
    <w:p>
      <w:pPr>
        <w:spacing w:before="40" w:after="40"/>
        <w:ind w:left="283"/>
      </w:pPr>
      <w:r>
        <w:rPr>
          <w:rFonts w:ascii="Calibri" w:hAnsi="Calibri"/>
          <w:b/>
          <w:color w:val="4A6B25"/>
          <w:sz w:val="20"/>
        </w:rPr>
        <w:t xml:space="preserve">2. </w:t>
      </w:r>
      <w:r>
        <w:rPr>
          <w:rFonts w:ascii="Calibri" w:hAnsi="Calibri"/>
          <w:b w:val="0"/>
          <w:color w:val="3A4A28"/>
          <w:sz w:val="20"/>
        </w:rPr>
        <w:t>Governance instability including CEO resignation, OSC management cease trade order for delayed audited financials, and stock price below $1 creating NASDAQ listing compliance risk that could force dilutive capital raises or operational restructuring [2][4]</w:t>
      </w:r>
    </w:p>
    <w:p>
      <w:pPr>
        <w:spacing w:before="40" w:after="40"/>
        <w:ind w:left="283"/>
      </w:pPr>
      <w:r>
        <w:rPr>
          <w:rFonts w:ascii="Calibri" w:hAnsi="Calibri"/>
          <w:b/>
          <w:color w:val="4A6B25"/>
          <w:sz w:val="20"/>
        </w:rPr>
        <w:t xml:space="preserve">3. </w:t>
      </w:r>
      <w:r>
        <w:rPr>
          <w:rFonts w:ascii="Calibri" w:hAnsi="Calibri"/>
          <w:b w:val="0"/>
          <w:color w:val="3A4A28"/>
          <w:sz w:val="20"/>
        </w:rPr>
        <w:t>Liquidity floor risk — at $0.58 stock price and 2.51M average daily volume, daily dollar volume of $1.46M is only 46% above the $1M liquidity floor; further price declines could trigger Infrastructure score of 0 and make the stock untradeable for IOWN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DeFi Technologies operates in the digital asset infrastructure space where AI creates real but uneven substitution risk. The Valour ETP platform — representing the core business — functions as regulated financial infrastructure (listing, custody, settlement) with meaningful regulatory and structural moats that AI cannot easily replicate [1]. However, the DeFi Alpha arbitrage and Neuronomics quantitative trading units are directly exposed to AI-driven competition, as increasingly sophisticated AI trading tools could erode returns from systematic strategies. Stillman Digital's prime brokerage faces moderate risk as AI could automate institutional OTC trading workflows. CEO Wattenström has announced plans for AI-related investment products, but no defense strategy against AI competition has been articulated [2]. AI Opportunity (0/1): No AI-related revenue streams currently exist; plans for AI-driven products are announced but not shipping, and no quantified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DeFi Technologies FY2025 Record Results — $99.1M Revenue, $62.7M Net Income, 100+ Valour ETPs — SEC 6-K Filing, March 2026</w:t>
      </w:r>
    </w:p>
    <w:p>
      <w:pPr>
        <w:spacing w:before="20" w:after="20"/>
        <w:ind w:left="170"/>
      </w:pPr>
      <w:r>
        <w:rPr>
          <w:rFonts w:ascii="Calibri" w:hAnsi="Calibri"/>
          <w:b/>
          <w:color w:val="4A6B25"/>
          <w:sz w:val="15"/>
        </w:rPr>
        <w:t xml:space="preserve">2. </w:t>
      </w:r>
      <w:r>
        <w:rPr>
          <w:rFonts w:ascii="Calibri" w:hAnsi="Calibri"/>
          <w:b w:val="0"/>
          <w:color w:val="3A4A28"/>
          <w:sz w:val="17"/>
        </w:rPr>
        <w:t>DeFi Technologies CEO Shareholder Letter — Johan Wattenström Addresses Bear Market, Plans Hedge Fund, AI Products, Cost-Cutting — PRNewswire/TipRanks, August 2026</w:t>
      </w:r>
    </w:p>
    <w:p>
      <w:pPr>
        <w:spacing w:before="20" w:after="20"/>
        <w:ind w:left="170"/>
      </w:pPr>
      <w:r>
        <w:rPr>
          <w:rFonts w:ascii="Calibri" w:hAnsi="Calibri"/>
          <w:b/>
          <w:color w:val="4A6B25"/>
          <w:sz w:val="15"/>
        </w:rPr>
        <w:t xml:space="preserve">3. </w:t>
      </w:r>
      <w:r>
        <w:rPr>
          <w:rFonts w:ascii="Calibri" w:hAnsi="Calibri"/>
          <w:b w:val="0"/>
          <w:color w:val="3A4A28"/>
          <w:sz w:val="17"/>
        </w:rPr>
        <w:t>DeFi Technologies Q2 2026 Results — $7.8M Revenue, $2.3M Operating Loss, Valour $471.5M AUM, Stillman Digital $5.4M H1 Revenue — PRNewswire, August 13, 2026</w:t>
      </w:r>
    </w:p>
    <w:p>
      <w:pPr>
        <w:spacing w:before="20" w:after="20"/>
        <w:ind w:left="170"/>
      </w:pPr>
      <w:r>
        <w:rPr>
          <w:rFonts w:ascii="Calibri" w:hAnsi="Calibri"/>
          <w:b/>
          <w:color w:val="4A6B25"/>
          <w:sz w:val="15"/>
        </w:rPr>
        <w:t xml:space="preserve">4. </w:t>
      </w:r>
      <w:r>
        <w:rPr>
          <w:rFonts w:ascii="Calibri" w:hAnsi="Calibri"/>
          <w:b w:val="0"/>
          <w:color w:val="3A4A28"/>
          <w:sz w:val="17"/>
        </w:rPr>
        <w:t>DeFi Technologies Leadership Transition and OSC MCTO — CEO Newton Resignation, Filing Delays — PRNewswire/StockTitan, June-July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GurFocus — DEFT Key Statistics: Forward P/E 10.47, D/E 2%, ROE 12.91%, Stock Price $0.58,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