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DFDV</w:t>
      </w:r>
      <w:r>
        <w:rPr>
          <w:rFonts w:ascii="Calibri" w:hAnsi="Calibri"/>
          <w:b/>
          <w:color w:val="1A2010"/>
          <w:sz w:val="40"/>
        </w:rPr>
        <w:t xml:space="preserve">  DeFi Development Corp.</w:t>
      </w:r>
    </w:p>
    <w:p>
      <w:pPr>
        <w:spacing w:after="120"/>
      </w:pPr>
      <w:r>
        <w:rPr>
          <w:rFonts w:ascii="Calibri" w:hAnsi="Calibri"/>
          <w:b/>
          <w:color w:val="6E8450"/>
          <w:sz w:val="18"/>
        </w:rPr>
        <w:t>GROWTH SLEEVE · 2026-07-27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Cryptocurrency · NASDAQ · United States</w:t>
      </w:r>
    </w:p>
    <w:p>
      <w:pPr>
        <w:spacing w:after="80"/>
      </w:pPr>
      <w:r>
        <w:rPr>
          <w:rFonts w:ascii="Calibri" w:hAnsi="Calibri"/>
          <w:b w:val="0"/>
          <w:color w:val="3A4A28"/>
          <w:sz w:val="20"/>
        </w:rPr>
        <w:t>DeFi Development Corp. (formerly Janover Inc.) is a Solana treasury company that purchases, holds, and compounds SOL holdings through staking and operating owned validators. The Digital Asset Treasury segment constitutes the core business; the legacy Real Estate Platform segment (connecting commercial mortgage borrowers with lenders) was wound down as of Q2 2026. Acquired by former Kraken executives in April 2025, rebranded from Janover. Headquartered in Boca Raton, Florida.</w:t>
      </w:r>
    </w:p>
    <w:p>
      <w:r>
        <w:rPr>
          <w:rFonts w:ascii="Calibri" w:hAnsi="Calibri"/>
          <w:b/>
          <w:color w:val="6E8450"/>
          <w:sz w:val="18"/>
        </w:rPr>
        <w:t>20 Employees · https://defidevcorp.com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April 2025 pivot from real estate tech platform to Solana treasury company was a radical business model transformation that opened a new revenue stream — staking income grew to $7.53M TTM from near-zero — but the new model remains unproven with persistent deep net losses and $93M market cap [1][2]. AI Deployment (0/2): No AI products, services, or internal AI-driven efficiency gains have been disclosed; the business is blockchain-native, not AI-native. Market Share (0/2): DFDV holds approximately 2.3M SOL tokens as of May 2026 but is a minor player in the institutional crypto treasury space, dwarfed by Strategy (MicroStrategy) in Bitcoin and lacking clear structural differentiation [3]. Product Pipeline (0/2): The Treasury Accelerator program and DeFi protocol deployment are operational initiatives, not products; SPS target of 0.075 by June 2026 provides some visibility but was reduced from the prior 0.085 target [2]. R&amp;D Intensity (0/1): No meaningful R&amp;D spend; the business model is treasury management and staking.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of 'bridging the liquidity gap between Traditional Finance and Decentralized Finance' is functional and identifiable but essentially describes a financial intermediation strategy interchangeable with dozens of crypto-native firms [4]. It does not articulate a deeper vision of a better future. Community Impact (0/2): No charitable programs, community investment, or foundation activity identified. The wind-down of Janover Insurance and Capital Markets eliminated what little community-facing operations existed [4]. Employee Retention (0/2): The team is extremely new — average management tenure of 1.2 years following the April 2025 acquisition. CCO Blake Janover departed March 2026 with a $692,500 separation payment and accelerated vesting of 70,000 RSUs, signaling leadership instability [4]. Insider Buying (1/2): The former-Kraken team acquired majority ownership of the company in April 2025, demonstrating meaningful personal capital commitment to the Solana thesis, though this was a control acquisition rather than traditional open-market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data gaps. Q1 2026 revenue was $2.66M with a net loss per share of $(3.18), reflecting massive mark-to-market volatility on SOL holdings [1]. TTM revenue of $7.53M represents 313% YoY growth from the legacy Janover base, scoring 1.0 on revenue growth. However, ROE is deeply negative and profit margin is distorted by unrealized crypto losses, both scoring 0. Forward P/E, PEG, D/E, and 5yr CAGR are unavailable or irrelevant. SOL-per-share grew 108% over trailing 12 months to 0.0670 [2], but persistent dilution and the $93M market cap limit the mechanical score to 3/10. Liquidity passes: $3.13M daily dollar volume ($3.21 x 973,874 avg volume) clears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DeFi Development Corp is a textbook finite player. The company exists to accumulate SOL tokens and grow SOL-per-share — a purely financial metric with no connection to a broader purpose or vision of a better future. The April 2025 transformation was bold but driven by financial arbitrage, not a Just Cause. Leadership instability (Blake Janover departure, 1.2-year average management tenure) and the wind-down of all legacy businesses suggest a company optimizing for crypto market conditions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DFDV does not articulate a Just Cause. The company's stated strategy of 'building its treasury around Solana' is a financial engineering objective, not a vision of a future state that inspires sacrifice [2]. 'Bridging TradFi and DeFi' is a slightly more purposeful framing but functions as marketing language for an asset accumulation strategy. Sinek would identify this as a classic finite player pursuing financial returns with no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is too new and too small (~20 people) to evaluate trust dynamics meaningfully. Average management tenure of 1.2 years, Blake Janover's separation after just one year in the restructured company, and the complete wind-down of legacy teams suggest organizational instability rather than a Circle of Safety [4]. No evidence of employee empowerment, psychological safety, or cultural practices that create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The company positions itself against Strategy (MicroStrategy) in the crypto treasury space but frames competition in purely financial terms — mNAV premium, SPS growth, capital efficiency — rather than acknowledging competitors' strengths or using rivalry for self-improvement [3]. Competitive language is about accumulating more SOL, not getting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April 2025 pivot from Janover (real estate tech platform) to DeFi Development Corp (Solana treasury vehicle) was a complete business model reinvention — new name, new leadership, new strategy, new revenue streams [4]. This is genuine flexibility, scoring 1 point. However, it was driven by financial opportunity (new owners acquiring a public shell) rather than advancing a Just Cause, and the wind-down of all legacy businesses was an identity replacement rather than purposeful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wind down all legacy Janover businesses (Capital Markets and Insurance) in March 2026 and concentrate entirely on the Solana treasury strategy required conviction, eliminating diversification and committing fully to crypto [4]. CEO Joseph Onorati's all-in bet on SOL, backed by the team's personal capital commitment during the acquisition, demonstrates willingness to accept concentrated risk. However, the bets are financed with shareholders' dilution, limiting the personal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DeFi Development Corp offers leveraged public-market exposure to Solana through a treasury vehicle holding approximately 2.3M SOL and SOL equivalents as of May 2026. SOL-per-share grew 108% over the trailing 12 months to 0.0670, TTM revenue reached $7.53M (up 313% YoY) from staking and validator operations, and FY2026 consensus revenue estimates of $18.7M imply continued rapid growth [1][2]. Cash and investments of $57.1M provide operational runway into 2027. The former-Kraken leadership team brings deep crypto operational expertise, and the company's validator infrastructure and DeFi protocol deployments differentiate it from passive SOL holding strategies [3].</w:t>
      </w:r>
    </w:p>
    <w:p>
      <w:pPr>
        <w:spacing w:after="120"/>
      </w:pPr>
      <w:r>
        <w:rPr>
          <w:rFonts w:ascii="Calibri" w:hAnsi="Calibri"/>
          <w:b w:val="0"/>
          <w:color w:val="3A4A28"/>
          <w:sz w:val="20"/>
        </w:rPr>
        <w:t>The bear case is severe and multi-dimensional. DFDV is a micro-cap ($93M market cap) with no demonstrated path to profitability — Q1 2026 showed a net loss of $(3.18) per share on just $2.66M revenue, driven by unrealized SOL price fluctuations that make earnings completely unpredictable [1]. The 87% correlation to SOL price means shareholders could buy SOL directly with lower fees and zero dilution risk. Authorized share increases and equity-line draws create persistent dilution overhang that can erode SPS gains even when SOL appreciates. Management tenure averages just 1.2 years, Blake Janover's departure raises continuity concerns, and the wind-down of all legacy businesses leaves DFDV as a pure-play SOL bet with no revenue diversification and no defensive characteristics in a crypto downturn [4]. The stock has fallen from a 52-week high of $33.75 to $3.21, an 90%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 price appreciation above $200 would dramatically increase NAV and potentially attract institutional investors seeking regulated public-market Solana exposure through a NASDAQ-listed vehicle</w:t>
      </w:r>
    </w:p>
    <w:p>
      <w:pPr>
        <w:spacing w:before="40" w:after="40"/>
        <w:ind w:left="283"/>
      </w:pPr>
      <w:r>
        <w:rPr>
          <w:rFonts w:ascii="Calibri" w:hAnsi="Calibri"/>
          <w:b/>
          <w:color w:val="4A6B25"/>
          <w:sz w:val="20"/>
        </w:rPr>
        <w:t xml:space="preserve">2. </w:t>
      </w:r>
      <w:r>
        <w:rPr>
          <w:rFonts w:ascii="Calibri" w:hAnsi="Calibri"/>
          <w:b w:val="0"/>
          <w:color w:val="3A4A28"/>
          <w:sz w:val="20"/>
        </w:rPr>
        <w:t>Validator infrastructure and DeFi yield compounding achieving the 0.075 SPS target would validate the treasury management strategy and differentiate from simple buy-and-hold crypto funds [2]</w:t>
      </w:r>
    </w:p>
    <w:p>
      <w:pPr>
        <w:spacing w:before="40" w:after="40"/>
        <w:ind w:left="283"/>
      </w:pPr>
      <w:r>
        <w:rPr>
          <w:rFonts w:ascii="Calibri" w:hAnsi="Calibri"/>
          <w:b/>
          <w:color w:val="4A6B25"/>
          <w:sz w:val="20"/>
        </w:rPr>
        <w:t xml:space="preserve">3. </w:t>
      </w:r>
      <w:r>
        <w:rPr>
          <w:rFonts w:ascii="Calibri" w:hAnsi="Calibri"/>
          <w:b w:val="0"/>
          <w:color w:val="3A4A28"/>
          <w:sz w:val="20"/>
        </w:rPr>
        <w:t>Potential Solana ETF approval or broader institutional adoption of SOL could drive a re-rating premium for the only pure-play public Solana treasury vehicle on NASDAQ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concentration in a single volatile digital asset (SOL) with 87% price volatility means a Solana-specific event — protocol exploit, regulatory action, or competitive displacement by another L1 — could destroy the majority of shareholder value</w:t>
      </w:r>
    </w:p>
    <w:p>
      <w:pPr>
        <w:spacing w:before="40" w:after="40"/>
        <w:ind w:left="283"/>
      </w:pPr>
      <w:r>
        <w:rPr>
          <w:rFonts w:ascii="Calibri" w:hAnsi="Calibri"/>
          <w:b/>
          <w:color w:val="4A6B25"/>
          <w:sz w:val="20"/>
        </w:rPr>
        <w:t xml:space="preserve">2. </w:t>
      </w:r>
      <w:r>
        <w:rPr>
          <w:rFonts w:ascii="Calibri" w:hAnsi="Calibri"/>
          <w:b w:val="0"/>
          <w:color w:val="3A4A28"/>
          <w:sz w:val="20"/>
        </w:rPr>
        <w:t>Persistent share dilution through equity lines, convertible debt, and RSU grants erodes SOL-per-share gains, potentially leaving common shareholders worse off than direct SOL holders paying zero management fees [4]</w:t>
      </w:r>
    </w:p>
    <w:p>
      <w:pPr>
        <w:spacing w:before="40" w:after="40"/>
        <w:ind w:left="283"/>
      </w:pPr>
      <w:r>
        <w:rPr>
          <w:rFonts w:ascii="Calibri" w:hAnsi="Calibri"/>
          <w:b/>
          <w:color w:val="4A6B25"/>
          <w:sz w:val="20"/>
        </w:rPr>
        <w:t xml:space="preserve">3. </w:t>
      </w:r>
      <w:r>
        <w:rPr>
          <w:rFonts w:ascii="Calibri" w:hAnsi="Calibri"/>
          <w:b w:val="0"/>
          <w:color w:val="3A4A28"/>
          <w:sz w:val="20"/>
        </w:rPr>
        <w:t>Micro-cap status ($93M market cap), leadership instability (1.2-year average tenure), 90% decline from 52-week high, and complete dependence on crypto market conditions create existential risk if equity capital markets close during a prolonged SOL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DFDV's core business — holding SOL tokens, operating Solana validators, and deploying capital through DeFi protocols — is structurally unaffected by AI disruption. Validator operations are cryptographic consensus processes that AI cannot replicate or displace, and digital asset treasury management requires blockchain infrastructure, not AI inference [5]. The company scores below IMMUNE because its business lacks physical-world or deeply regulated characteristics that define maximum AI resilience; the company's genuine risks are crypto-specific (SOL price volatility, protocol exploits, regulatory crackdowns) rather than AI-related. AI could potentially commoditize basic DeFi yield strategies, but DFDV's validator operations provide structural differentiation. AI Opportunity (0/1): No AI-generated revenue or AI-enabled products. Operations are blockchain-native.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DeFi Development Corp Q1 2026 10-Q: Revenue $2.66M, EPS ($3.18), TTM Revenue $7.53M — SEC/TradingView, May 2026</w:t>
      </w:r>
    </w:p>
    <w:p>
      <w:pPr>
        <w:spacing w:before="20" w:after="20"/>
        <w:ind w:left="170"/>
      </w:pPr>
      <w:r>
        <w:rPr>
          <w:rFonts w:ascii="Calibri" w:hAnsi="Calibri"/>
          <w:b/>
          <w:color w:val="4A6B25"/>
          <w:sz w:val="15"/>
        </w:rPr>
        <w:t xml:space="preserve">2. </w:t>
      </w:r>
      <w:r>
        <w:rPr>
          <w:rFonts w:ascii="Calibri" w:hAnsi="Calibri"/>
          <w:b w:val="0"/>
          <w:color w:val="3A4A28"/>
          <w:sz w:val="17"/>
        </w:rPr>
        <w:t>DeFi Development Corp March 2026 Recap: SPS Growth to 0.0670, Treasury 2.3M SOL, Strategic Execution — GlobeNewswire, April 7,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DeFi Development Corp: Solana's Institutional Backing a Key Tailwind, 2026</w:t>
      </w:r>
    </w:p>
    <w:p>
      <w:pPr>
        <w:spacing w:before="20" w:after="20"/>
        <w:ind w:left="170"/>
      </w:pPr>
      <w:r>
        <w:rPr>
          <w:rFonts w:ascii="Calibri" w:hAnsi="Calibri"/>
          <w:b/>
          <w:color w:val="4A6B25"/>
          <w:sz w:val="15"/>
        </w:rPr>
        <w:t xml:space="preserve">4. </w:t>
      </w:r>
      <w:r>
        <w:rPr>
          <w:rFonts w:ascii="Calibri" w:hAnsi="Calibri"/>
          <w:b w:val="0"/>
          <w:color w:val="3A4A28"/>
          <w:sz w:val="17"/>
        </w:rPr>
        <w:t>DeFi Development Corp 8-K: Blake Janover Separation ($692.5K), Legacy Business Wind-Down, John Han CFO Appointment — SEC/TipRanks, March-April 2026</w:t>
      </w:r>
    </w:p>
    <w:p>
      <w:pPr>
        <w:spacing w:before="20" w:after="20"/>
        <w:ind w:left="170"/>
      </w:pPr>
      <w:r>
        <w:rPr>
          <w:rFonts w:ascii="Calibri" w:hAnsi="Calibri"/>
          <w:b/>
          <w:color w:val="4A6B25"/>
          <w:sz w:val="15"/>
        </w:rPr>
        <w:t xml:space="preserve">5. </w:t>
      </w:r>
      <w:r>
        <w:rPr>
          <w:rFonts w:ascii="Calibri" w:hAnsi="Calibri"/>
          <w:b w:val="0"/>
          <w:color w:val="3A4A28"/>
          <w:sz w:val="17"/>
        </w:rPr>
        <w:t>DeFi Development Corp: Confirms No Exposure to Drift Protocol Exploit — GlobeNewswire,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