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DOX</w:t>
      </w:r>
      <w:r>
        <w:rPr>
          <w:rFonts w:ascii="Calibri" w:hAnsi="Calibri"/>
          <w:b/>
          <w:color w:val="1A2010"/>
          <w:sz w:val="40"/>
        </w:rPr>
        <w:t xml:space="preserve">  Amdocs Limited</w:t>
      </w:r>
    </w:p>
    <w:p>
      <w:pPr>
        <w:spacing w:after="120"/>
      </w:pPr>
      <w:r>
        <w:rPr>
          <w:rFonts w:ascii="Calibri" w:hAnsi="Calibri"/>
          <w:b/>
          <w:color w:val="6E8450"/>
          <w:sz w:val="18"/>
        </w:rPr>
        <w:t>DIVIDEND SLEEVE · 2026-08-03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Amdocs Limited provides software and services to communications, entertainment, media, and other service providers worldwide. The company designs, develops, operates, and markets cloud-native telecom platforms including CES25 (a GenAI-led customer experience suite) and aOS (an agentic operating system for telecommunications). Operates through managed services, software licensing, and system integration. Founded in 1982, headquartered in Chesterfield, Missouri, with major operations in Israel.</w:t>
      </w:r>
    </w:p>
    <w:p>
      <w:r>
        <w:rPr>
          <w:rFonts w:ascii="Calibri" w:hAnsi="Calibri"/>
          <w:b/>
          <w:color w:val="6E8450"/>
          <w:sz w:val="18"/>
        </w:rPr>
        <w:t>27,000 Employees · https://www.amdocs.com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Amdocs closed the Matrixx Software acquisition for 5G monetization and launched aOS, an agentic AI operating system for telecom, representing meaningful product evolution from traditional BSS/OSS to AI-native platforms [1][2]. The creation of a dedicated GenAI &amp; Data Division signals genuine strategic commitment. AI Deployment (1/2): GenAI agents are shipping embedded in CES25 and aOS for customer service automation and network operations, with customer deployments at Vodafone Germany and two new Western European carriers, though measurable AI-specific revenue gains have not been quantified [1][2]. Market Share (1/2): Amdocs holds a dominant position in telecom BSS/OSS globally with a $4.28B twelve-month backlog and expanding European presence, though the addressable market is niche relative to enterprise software broadly [1]. Product Pipeline (1/2): aOS and CES25 represent next-gen platforms with specific customer deployments and the pipeline is visible through the backlog, but revenue contribution from AI products is still developing [2]. R&amp;D Intensity (0/1): R&amp;D spending is moderate for a software company, not top-quartile relative to peers like ServiceNow or Salesforce.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Amdocs' purpose of helping service providers 'Make it Amazing' is clear and connected to enabling the connected world, but not deeply distinctive — it describes what they do rather than a transformative vision of a better future, and is interchangeable with any enterprise software vendor's purpose statement. Community Impact (1/2): Amdocs maintains ESG programs aligned with GRI and SASB standards with ESG roles distributed across all organizational levels, achieving a 'negligible' ESG risk rating from Sustainalytics with zero controversy level [3]. However, no specific charitable programs with dollar amounts were identified. Employee Retention (0/2): The company has eliminated approximately 7,200 positions since 2023 citing AI restructuring, with the most recent round cutting 3,000 jobs under new CEO Shimie Hortig who framed the cuts as 'adapting work processes to the AI era' [4]. This represents roughly 25% of the workforce and creates significant organizational fear. Insider Buying (0/2): No net insider buying identified. New CEO Hortig received 97,213 shares via Form 3 filing and 84,483 restricted stock awards — all equity grants, not open-market purchases indicating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available metrics. Amdocs maintains a fortress balance sheet with D/E of 27% — well below the 70% target — and ROE of 16.5% above the 15% threshold [6]. Q2 FY2026 revenue of $1.172B grew 3.9% YoY (2.2% constant currency) with non-GAAP operating margin of 21.5% [1]. The dividend profile is excellent: 14 consecutive years of payment and growth with a ~10% five-year dividend growth CAGR (more than 2x inflation), conservative 38% payout ratio, and 3.4% current yield [6]. Forward P/E of 8.9 with PEG of 1.08 reflects deep value. Weaknesses include modest 5yr revenue CAGR of approximately 2% (well below 10% target) and profit margin of 12.5% (below 20% target), reflecting the managed-services-heavy model. Dividend weights: D/E (1.0, 1x), ROE (1.0, 1x), Rev YoY 3.9% (0.80, 1x), Rev 5yr 2% (0.47, 1x), Fwd PE (1.0, 1x), Margin (0.62, 1x), Payout (1.0, 1x), Yrs Paid (1.0, 2x), Yrs Growth (1.0, 1x), Div Growth (1.0, 2x). Sum 10.89/12 =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Amdocs has maintained a consistent strategic direction in telecom software for 40+ years, showing remarkable staying power through multiple technology transitions. However, the massive AI-driven workforce reduction (7,200 positions since 2023), finite competitive language, and a purpose that reads as marketing rather than a Just Cause reflect a company playing to optimize rather than to endure. The CEO transition adds uncertainty to long-term strategic direction.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Amdocs has maintained a distinctive purpose of enabling communications service providers to serve their customers for over 40 years, surviving transitions from wireline to wireless, on-premise to cloud, and now to AI-native platforms [1][2]. Strategic decisions — the Matrixx acquisition, aOS launch, GenAI division — consistently trace back to this telecom enablement mission. However, 'Make it Amazing' is more operational than transformative and doesn't describe a bold future state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elimination of approximately 7,200 positions (roughly 25% of workforce) since 2023, with the most recent 3,000 cuts under new CEO Hortig, creates an environment of fear rather than trust [4]. Regardless of how management frames these as 'adapting to the AI era,' employees watching a quarter of their colleagues lose their jobs do not feel psychologically safe. The company's stated culture of 'Live Amazing, Do Amazing' rings hollow when contrasted with mass layoffs.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Amdocs' competitive language focuses on 'winning' new deals and expanding customer relationships rather than learning from rivals [1]. No evidence of management acknowledging the strengths of competitors like Ericsson Digital Services, Nokia, or hyperscaler telecom platforms as motivation for self-improvement. The competitive framing is about market position, not about getting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on-premise BSS/OSS to cloud-native SaaS (aOS as agentic operating system), the Matrixx Software acquisition for 5G monetization, and the creation of a GenAI &amp; Data Division represent meaningful strategic evolution [1][2]. However, these are incremental adaptations within the same telecom vertical rather than a transformative reinvention — Amdocs has always served telecom and continues to do so.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investment in aOS as an agentic AI platform while legacy managed services revenue still dominates shows willingness to cannibalize existing business. The Matrixx acquisition and GenAI Division creation represent bets on long-term capability [1][2]. New CEO Hortig's stated priority to convert 'technological leadership into durable growth' signals strategic ambition. However, the 7,200 job cuts framed as AI optimization suggest cost-cutting over investment in workforce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Amdocs offers deep value at 8.9x forward earnings with a 3.4% dividend yield backed by 14 consecutive years of growth and a ~10% five-year dividend CAGR [6]. Q2 FY2026 revenue of $1.172B grew 3.9% YoY with non-GAAP EPS of $1.78 beating guidance, and the $4.28B twelve-month backlog provides strong revenue visibility [1]. The fortress balance sheet (D/E 27%) supports continued capital returns, and the aOS agentic AI platform positions Amdocs to capture telecom AI modernization spending as carriers automate customer service and network operations. FY2026 guidance calls for 2.6-4.6% revenue growth and 5-7% EPS growth, with Europe recording a record $192M quarterly revenue (up 6.2%) [1].</w:t>
      </w:r>
    </w:p>
    <w:p>
      <w:pPr>
        <w:spacing w:after="120"/>
      </w:pPr>
      <w:r>
        <w:rPr>
          <w:rFonts w:ascii="Calibri" w:hAnsi="Calibri"/>
          <w:b w:val="0"/>
          <w:color w:val="3A4A28"/>
          <w:sz w:val="20"/>
        </w:rPr>
        <w:t>The bear case centers on structural growth constraints and workforce disruption. Five-year revenue CAGR of approximately 2% reflects an industry where carrier consolidation limits the customer base and spending is cyclical [1]. The 7,200 positions eliminated since 2023 — roughly 25% of the workforce — raises questions about organizational capability and morale even as it supports near-term margins [4]. Profit margin of 12.5% is capped by the managed-services-heavy model (65% of revenue), limiting upside even with AI efficiency gains. The CEO transition to Shimie Hortig introduces execution risk during a critical AI platform buildout, and the aOS must prove it can generate material revenue before hyperscalers and AI-native competitors disintermediate Amdocs' integration role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traction of the aOS agentic operating system with tier-1 carriers converts the platform from cost center to incremental revenue growth driver, proving the AI pivot thesis</w:t>
      </w:r>
    </w:p>
    <w:p>
      <w:pPr>
        <w:spacing w:before="40" w:after="40"/>
        <w:ind w:left="283"/>
      </w:pPr>
      <w:r>
        <w:rPr>
          <w:rFonts w:ascii="Calibri" w:hAnsi="Calibri"/>
          <w:b/>
          <w:color w:val="4A6B25"/>
          <w:sz w:val="20"/>
        </w:rPr>
        <w:t xml:space="preserve">2. </w:t>
      </w:r>
      <w:r>
        <w:rPr>
          <w:rFonts w:ascii="Calibri" w:hAnsi="Calibri"/>
          <w:b w:val="0"/>
          <w:color w:val="3A4A28"/>
          <w:sz w:val="20"/>
        </w:rPr>
        <w:t>European expansion continues at record pace ($192M quarterly, up 6.2%) as new Western European carrier wins build pipeline beyond the $4.28B twelve-month backlog</w:t>
      </w:r>
    </w:p>
    <w:p>
      <w:pPr>
        <w:spacing w:before="40" w:after="40"/>
        <w:ind w:left="283"/>
      </w:pPr>
      <w:r>
        <w:rPr>
          <w:rFonts w:ascii="Calibri" w:hAnsi="Calibri"/>
          <w:b/>
          <w:color w:val="4A6B25"/>
          <w:sz w:val="20"/>
        </w:rPr>
        <w:t xml:space="preserve">3. </w:t>
      </w:r>
      <w:r>
        <w:rPr>
          <w:rFonts w:ascii="Calibri" w:hAnsi="Calibri"/>
          <w:b w:val="0"/>
          <w:color w:val="3A4A28"/>
          <w:sz w:val="20"/>
        </w:rPr>
        <w:t>AI-driven margin expansion as the 7,200-position workforce reduction fully annualizes, potentially pushing non-GAAP operating margins above the 21.5% current level toward 23-24%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Telecom carrier spending weakness — particularly from large customers like T-Mobile — could compress organic revenue growth below the low end of 2.6% FY2026 guidance</w:t>
      </w:r>
    </w:p>
    <w:p>
      <w:pPr>
        <w:spacing w:before="40" w:after="40"/>
        <w:ind w:left="283"/>
      </w:pPr>
      <w:r>
        <w:rPr>
          <w:rFonts w:ascii="Calibri" w:hAnsi="Calibri"/>
          <w:b/>
          <w:color w:val="4A6B25"/>
          <w:sz w:val="20"/>
        </w:rPr>
        <w:t xml:space="preserve">2. </w:t>
      </w:r>
      <w:r>
        <w:rPr>
          <w:rFonts w:ascii="Calibri" w:hAnsi="Calibri"/>
          <w:b w:val="0"/>
          <w:color w:val="3A4A28"/>
          <w:sz w:val="20"/>
        </w:rPr>
        <w:t>AI commoditization of telecom integration services by hyperscalers (AWS, Azure, GCP) and AI-native startups erodes managed services pricing power, threatening the 65% of revenue from that segment</w:t>
      </w:r>
    </w:p>
    <w:p>
      <w:pPr>
        <w:spacing w:before="40" w:after="40"/>
        <w:ind w:left="283"/>
      </w:pPr>
      <w:r>
        <w:rPr>
          <w:rFonts w:ascii="Calibri" w:hAnsi="Calibri"/>
          <w:b/>
          <w:color w:val="4A6B25"/>
          <w:sz w:val="20"/>
        </w:rPr>
        <w:t xml:space="preserve">3. </w:t>
      </w:r>
      <w:r>
        <w:rPr>
          <w:rFonts w:ascii="Calibri" w:hAnsi="Calibri"/>
          <w:b w:val="0"/>
          <w:color w:val="3A4A28"/>
          <w:sz w:val="20"/>
        </w:rPr>
        <w:t>Workforce reduction of 7,200 positions degrades institutional knowledge and delivery capability, creating execution risk on complex multi-year carrier modernization projects during the CEO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Amdocs operates at the intersection of AI opportunity and disruption risk. Its core telecom BSS/OSS managed services business faces direct pressure as AI enables carriers to automate processes that Amdocs' 27,000-person workforce currently performs — the company itself cut 7,200 positions since 2023 citing AI restructuring, demonstrating that AI is already displacing internal labor [4]. Competitors including hyperscalers (AWS, Azure, GCP) and AI-native startups could commoditize integration work. However, deep telecom domain expertise, complex regulatory environments, and the $4.28B twelve-month backlog provide meaningful switching costs that protect the core business [1]. AI Opportunity (1/1): Amdocs is generating AI-related revenue through GenAI agents embedded in CES25 and the aOS agentic operating system, with specific customer deployments at Vodafone Germany and multiple European carriers. The dedicated GenAI &amp; Data Division represents a concrete organizational commitment to AI monetization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Amdocs Q2 FY2026 Earnings Release — Revenue $1.172B up 3.9% YoY, Non-GAAP EPS $1.78, July 2026</w:t>
      </w:r>
    </w:p>
    <w:p>
      <w:pPr>
        <w:spacing w:before="20" w:after="20"/>
        <w:ind w:left="170"/>
      </w:pPr>
      <w:r>
        <w:rPr>
          <w:rFonts w:ascii="Calibri" w:hAnsi="Calibri"/>
          <w:b/>
          <w:color w:val="4A6B25"/>
          <w:sz w:val="15"/>
        </w:rPr>
        <w:t xml:space="preserve">2. </w:t>
      </w:r>
      <w:r>
        <w:rPr>
          <w:rFonts w:ascii="Calibri" w:hAnsi="Calibri"/>
          <w:b w:val="0"/>
          <w:color w:val="3A4A28"/>
          <w:sz w:val="17"/>
        </w:rPr>
        <w:t>Amdocs aOS Launch and GenAI Division Restructuring — Fierce Network, OpenTools AI, Calcalist, 2026</w:t>
      </w:r>
    </w:p>
    <w:p>
      <w:pPr>
        <w:spacing w:before="20" w:after="20"/>
        <w:ind w:left="170"/>
      </w:pPr>
      <w:r>
        <w:rPr>
          <w:rFonts w:ascii="Calibri" w:hAnsi="Calibri"/>
          <w:b/>
          <w:color w:val="4A6B25"/>
          <w:sz w:val="15"/>
        </w:rPr>
        <w:t xml:space="preserve">3. </w:t>
      </w:r>
      <w:r>
        <w:rPr>
          <w:rFonts w:ascii="Calibri" w:hAnsi="Calibri"/>
          <w:b w:val="0"/>
          <w:color w:val="3A4A28"/>
          <w:sz w:val="17"/>
        </w:rPr>
        <w:t>Amdocs ESG and CSR Reports — Sustainalytics Negligible Risk Rating, GRI/SASB Aligned, amdocs.com, 2026</w:t>
      </w:r>
    </w:p>
    <w:p>
      <w:pPr>
        <w:spacing w:before="20" w:after="20"/>
        <w:ind w:left="170"/>
      </w:pPr>
      <w:r>
        <w:rPr>
          <w:rFonts w:ascii="Calibri" w:hAnsi="Calibri"/>
          <w:b/>
          <w:color w:val="4A6B25"/>
          <w:sz w:val="15"/>
        </w:rPr>
        <w:t xml:space="preserve">4. </w:t>
      </w:r>
      <w:r>
        <w:rPr>
          <w:rFonts w:ascii="Calibri" w:hAnsi="Calibri"/>
          <w:b w:val="0"/>
          <w:color w:val="3A4A28"/>
          <w:sz w:val="17"/>
        </w:rPr>
        <w:t>Amdocs AI Restructuring — 7,200 Positions Cut Since 2023, AI Weekly and Fierce Network, 2026</w:t>
      </w:r>
    </w:p>
    <w:p>
      <w:pPr>
        <w:spacing w:before="20" w:after="20"/>
        <w:ind w:left="170"/>
      </w:pPr>
      <w:r>
        <w:rPr>
          <w:rFonts w:ascii="Calibri" w:hAnsi="Calibri"/>
          <w:b/>
          <w:color w:val="4A6B25"/>
          <w:sz w:val="15"/>
        </w:rPr>
        <w:t xml:space="preserve">5. </w:t>
      </w:r>
      <w:r>
        <w:rPr>
          <w:rFonts w:ascii="Calibri" w:hAnsi="Calibri"/>
          <w:b w:val="0"/>
          <w:color w:val="3A4A28"/>
          <w:sz w:val="17"/>
        </w:rPr>
        <w:t>Amdocs Insider Activity — Shimie Hortig Form 3 (97,213 shares) and Form 4 (84,483 RSAs), SEC Filings,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GuruFocus — DOX Key Statistics, Forward P/E 8.90, D/E 27%,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