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EAT</w:t>
      </w:r>
      <w:r>
        <w:rPr>
          <w:rFonts w:ascii="Calibri" w:hAnsi="Calibri"/>
          <w:b/>
          <w:color w:val="1A2010"/>
          <w:sz w:val="40"/>
        </w:rPr>
        <w:t xml:space="preserve">  Brinker International, Inc.</w:t>
      </w:r>
    </w:p>
    <w:p>
      <w:pPr>
        <w:spacing w:after="120"/>
      </w:pPr>
      <w:r>
        <w:rPr>
          <w:rFonts w:ascii="Calibri" w:hAnsi="Calibri"/>
          <w:b/>
          <w:color w:val="6E8450"/>
          <w:sz w:val="18"/>
        </w:rPr>
        <w:t>GROWTH SLEEVE · 2026-08-05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Restaurants · NYSE · United States</w:t>
      </w:r>
    </w:p>
    <w:p>
      <w:pPr>
        <w:spacing w:after="80"/>
      </w:pPr>
      <w:r>
        <w:rPr>
          <w:rFonts w:ascii="Calibri" w:hAnsi="Calibri"/>
          <w:b w:val="0"/>
          <w:color w:val="3A4A28"/>
          <w:sz w:val="20"/>
        </w:rPr>
        <w:t>Brinker International owns, operates, and franchises Chili's Grill &amp; Bar and Maggiano's Little Italy casual dining restaurants across 27 countries, with approximately 1,700 total restaurant locations. Under CEO Kevin Hochman, Chili's has achieved 20 consecutive quarters of same-store sales growth. FY2026 guidance targets $5.78-5.82B in total revenue and $10.60-10.85 non-GAAP EPS.</w:t>
      </w:r>
    </w:p>
    <w:p>
      <w:r>
        <w:rPr>
          <w:rFonts w:ascii="Calibri" w:hAnsi="Calibri"/>
          <w:b/>
          <w:color w:val="6E8450"/>
          <w:sz w:val="18"/>
        </w:rPr>
        <w:t>125,000 Employees · https://brinker.com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Under CEO Kevin Hochman (appointed 2022), Brinker executed one of the most celebrated casual dining turnarounds in recent history — Chili's achieved its 20th consecutive quarter of same-store sales growth in Q3 FY2026 through bold menu simplification, the viral 'Big Smasher' burger, and $10.99 value meals that reversed years of brand erosion while competitors TGI Friday's and Red Lobster entered bankruptcy [1][2]. AI Deployment (1/2): Brinker deploys Black Box Intelligence's restaurant-specific AI to connect guest sentiment directly to financial performance in real time, using data analytics to validate menu simplification and align leadership decisions with customer feedback [4]. CIO Chris Caldwell (hired from KFC in 2024) has spent two years rebuilding core technology infrastructure as a prerequisite for advanced AI deployment [3]. Market Share (2/2): Chili's is gaining significant share in the casual dining segment, with 8.6% comparable restaurant sales growth in Q2 FY2026 and 4.0% in Q3, while competitors have exited through bankruptcy or closed locations [1]. Product Pipeline (0/2): No announced next-generation restaurant concepts or new brand launches with specific timelines. R&amp;D Intensity (1/1): Capital expenditure guidance of $240-250M for FY2026 is above-average for casual dining, reflecting investment in kitchen technology, digital ordering, and restaurant remodels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Brinker's purpose centers on providing welcoming casual dining experiences for families and communities, with CEO Hochman's strategic focus on value ($10.99 meals) directly serving middle-income families squeezed by inflation [1]. The mission is clear and relevant but not deeply distinctive or transformative beyond the restaurant industry. Community Impact (1/2): Brinker published its first Sustainability Report in 2021 outlining impact across 'Passionate People, Great Food, Better World, and Responsible Governance' pillars, with goals including 30% BIPOC leadership growth and minimum $18/hour wages [4]. General corporate programs but no major foundation or charitable investment with specific dollar amounts. Employee Retention (1/2): Glassdoor rating of 3.7/5 is above-average for the restaurant industry, and 65% of employees recommend Brinker as a workplace [3]. Aaron White's dual promotion to EVP/COO/Chief People Officer in 2025 signals organizational investment in people strategy. However, the restaurant industry inherently faces high hourly turnover. Insider Buying (0/2): No evidence of significant open-market insider purchases by CEO Hochman or other executives in recent months. CEO compensation is equity-heavy, aligning interests, but no discretionary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Brinker's financial profile is exceptionally strong for a casual dining operator: 139% ROE, forward P/E of 17.76x (NTM), PEG of 1.18, and approximately 18% TTM revenue growth to $5.69B reflect the Hochman turnaround's earnings power [1][5]. FY2026 guidance of $5.78-5.82B revenue and $10.60-10.85 non-GAAP EPS represents continued momentum. D/E of 110% has improved substantially from the prior period's 396% as retained earnings rebuilt equity from strong profitability. Profit margin of 8.1% is improving but remains below the 20% target. Five-year revenue CAGR of approximately 11% captures the recovery from COVID lows through the Hochman-era acceleration. Stock at $209.86 is up 38% from the prior screen at $152.24.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Brinker International under Kevin Hochman demonstrates strong infinite game characteristics — the CEO's willingness to simplify the menu by cutting 20+ revenue-generating items, invest in value pricing during inflationary pressure, and rebuild brand relevance over multiple years rather than chasing quarterly trends exemplifies courageous, long-term leadership. However, the company's '20-quarter winning streak' language, celebration of competitors' bankruptcies, and competitive framing against struggling rivals reveal finite game elements in an otherwise impressive turnaround story.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Brinker's purpose of making casual dining accessible and welcoming for families and communities has genuine depth rooted in the company's 50-year history since Norman Brinker's founding vision in 1975 [4]. Under Hochman, the strategic focus on value ($10.99 meals, Big Smasher) directly serves middle-income families squeezed by inflation — a purpose that aligns operations with a real societal need. However, the cause has not yet been validated through the test of multi-decade consistency under the current leadership, and Hochman's tenure is only four years old.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3.7/5 with 65% of employees recommending the company indicates above-average trust for the restaurant industry [3]. Aaron White's dual COO/Chief People Officer role signals organizational commitment to people-centric leadership. The Hochman turnaround has demonstrably improved front-line execution, as evidenced by 20 consecutive quarters of same-store sales growth requiring operational buy-in across 1,700+ restaurants and 125,000 employees [1]. However, the restaurant industry's structural high-turnover nature limits the achievable trust level.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Brinker's competitive narrative prominently features 'winning' against casual dining peers — celebrating TGI Friday's and Red Lobster bankruptcies, counting the '20-quarter winning streak,' and emphasizing market share gains in fundamentally finite game language [1]. No evidence of management acknowledging competitors' strengths as motivation for self-improvement; the competitive framing is about defeating weakened rivals rather than learning from worthy ones.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Hochman turnaround represents transformative strategic flexibility — upon arrival in 2022, he fundamentally restructured Chili's identity from a declining, over-complicated casual dining chain to a value-focused, operationally simplified brand, cutting 20+ menu items, redesigning kitchen workflow, and repositioning the entire value proposition [1]. This was a deliberate destruction of the existing business model — walking away from revenue-generating menu complexity — in service of long-term brand relevance. The turnaround's 20-quarter success validates the pivot as exactly what Sinek describes: willingness to blow up the existing model when the cause demands it.</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Kevin Hochman's first major decisions as CEO were to simplify the menu by cutting 20+ revenue-generating items and invest in value pricing ($10.99 meals) during a period when competitors were raising prices — decisions that sacrificed short-term revenue for long-term brand positioning [1]. He invested in kitchen technology and operational efficiency during a period of restaurant industry uncertainty. The results (20 consecutive quarters of comp growth, Q2 8.6% comps, raised FY2026 guidance to $10.60-10.85 EPS) validate this pattern of choosing long-term capability over quarterly earnings. This is a textbook example of courageous leadership by Sinek's standard.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Brinker International is executing one of the most successful casual dining turnarounds in recent history, with Chili's delivering 20 consecutive quarters of same-store sales growth under CEO Kevin Hochman's bold menu simplification and value strategy [1]. FY2026 guidance of $5.78-5.82B revenue and $10.60-10.85 EPS, combined with a forward P/E of 17.76x, PEG of 1.18, and 139% ROE, offers compelling growth-at-a-reasonable-price characteristics. The stock has surged 38% from $152.24 to $209.86 since the prior screen as the market re-rated the sustainability of the turnaround. AI-driven guest sentiment analytics via Black Box Intelligence provides a scalable competitive advantage in menu optimization and operational execution [4].</w:t>
      </w:r>
    </w:p>
    <w:p>
      <w:pPr>
        <w:spacing w:after="120"/>
      </w:pPr>
      <w:r>
        <w:rPr>
          <w:rFonts w:ascii="Calibri" w:hAnsi="Calibri"/>
          <w:b w:val="0"/>
          <w:color w:val="3A4A28"/>
          <w:sz w:val="20"/>
        </w:rPr>
        <w:t>The bear case rests on cyclical vulnerability and growth deceleration risk. Q3 FY2026 comparable sales growth decelerated to 4.0% from 8.6% in Q2, signaling potential maturation of the turnaround's most powerful phase [1]. At $209.86, the stock has more than tripled from its 2022 lows, and the 17.76x NTM P/E leaves less room for error than the prior screen's 12.2x. Casual dining is inherently exposed to consumer spending downturns, and a recession could reverse Chili's momentum among value-conscious customers who may cut dining-out entirely. D/E of 110% with $1.6B in debt provides limited balance sheet cushion if comparable sales turn negative. Maggiano's comparable sales declined 4.6% in Q3 FY2026, confirming the turnaround magic has not extended to the premium brand. Restaurant labor market tightness with $18+/hour minimum wages could compress the already-modest 8.1% profit margin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Chili's 20-quarter same-store sales growth streak demonstrates a durable brand repositioning that could drive further institutional re-rating of the stock and casual dining sector multiples [1]</w:t>
      </w:r>
    </w:p>
    <w:p>
      <w:pPr>
        <w:spacing w:before="40" w:after="40"/>
        <w:ind w:left="283"/>
      </w:pPr>
      <w:r>
        <w:rPr>
          <w:rFonts w:ascii="Calibri" w:hAnsi="Calibri"/>
          <w:b/>
          <w:color w:val="4A6B25"/>
          <w:sz w:val="20"/>
        </w:rPr>
        <w:t xml:space="preserve">2. </w:t>
      </w:r>
      <w:r>
        <w:rPr>
          <w:rFonts w:ascii="Calibri" w:hAnsi="Calibri"/>
          <w:b w:val="0"/>
          <w:color w:val="3A4A28"/>
          <w:sz w:val="20"/>
        </w:rPr>
        <w:t>International franchise expansion beyond the current ~1,700 locations across 27 countries represents an untapped growth vector that could extend the revenue runway with capital-light economics [2]</w:t>
      </w:r>
    </w:p>
    <w:p>
      <w:pPr>
        <w:spacing w:before="40" w:after="40"/>
        <w:ind w:left="283"/>
      </w:pPr>
      <w:r>
        <w:rPr>
          <w:rFonts w:ascii="Calibri" w:hAnsi="Calibri"/>
          <w:b/>
          <w:color w:val="4A6B25"/>
          <w:sz w:val="20"/>
        </w:rPr>
        <w:t xml:space="preserve">3. </w:t>
      </w:r>
      <w:r>
        <w:rPr>
          <w:rFonts w:ascii="Calibri" w:hAnsi="Calibri"/>
          <w:b w:val="0"/>
          <w:color w:val="3A4A28"/>
          <w:sz w:val="20"/>
        </w:rPr>
        <w:t>Margin expansion through AI-driven operational efficiency (Black Box Intelligence analytics), kitchen automation investments, and menu simplification could push profit margins above 10% for the first time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Comparable sales growth deceleration from 8.6% (Q2) to 4.0% (Q3 FY2026) signals potential maturation of the turnaround — if comps turn flat or negative, the multiple could compress sharply from the current 17.76x [1]</w:t>
      </w:r>
    </w:p>
    <w:p>
      <w:pPr>
        <w:spacing w:before="40" w:after="40"/>
        <w:ind w:left="283"/>
      </w:pPr>
      <w:r>
        <w:rPr>
          <w:rFonts w:ascii="Calibri" w:hAnsi="Calibri"/>
          <w:b/>
          <w:color w:val="4A6B25"/>
          <w:sz w:val="20"/>
        </w:rPr>
        <w:t xml:space="preserve">2. </w:t>
      </w:r>
      <w:r>
        <w:rPr>
          <w:rFonts w:ascii="Calibri" w:hAnsi="Calibri"/>
          <w:b w:val="0"/>
          <w:color w:val="3A4A28"/>
          <w:sz w:val="20"/>
        </w:rPr>
        <w:t>Consumer spending recession would disproportionately impact casual dining — Brinker's value-focused customers are among the most likely to eliminate restaurant visits entirely during economic downturns</w:t>
      </w:r>
    </w:p>
    <w:p>
      <w:pPr>
        <w:spacing w:before="40" w:after="40"/>
        <w:ind w:left="283"/>
      </w:pPr>
      <w:r>
        <w:rPr>
          <w:rFonts w:ascii="Calibri" w:hAnsi="Calibri"/>
          <w:b/>
          <w:color w:val="4A6B25"/>
          <w:sz w:val="20"/>
        </w:rPr>
        <w:t xml:space="preserve">3. </w:t>
      </w:r>
      <w:r>
        <w:rPr>
          <w:rFonts w:ascii="Calibri" w:hAnsi="Calibri"/>
          <w:b w:val="0"/>
          <w:color w:val="3A4A28"/>
          <w:sz w:val="20"/>
        </w:rPr>
        <w:t>Maggiano's declining 4.6% in Q3 FY2026 confirms the turnaround is Chili's-specific rather than organizational, creating concentration risk if the Hochman playbook does not transfer to the premium segment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Casual dining restaurants are fundamentally physical-world businesses — preparing food, serving guests, and creating in-restaurant experiences cannot be displaced by AI [1]. Brinker operates 1,700+ restaurant locations with 125,000 employees performing inherently human tasks across 27 countries. The business involves physical real estate, kitchen operations, and hospitality services that AI structurally cannot substitute. Rather than facing disruption, Brinker is using AI as an enabler, deploying Black Box Intelligence's restaurant-specific AI analytics to translate real-time guest sentiment into menu and operational decisions that directly drive same-store sales growth [4]. CIO Caldwell notes that AI progress in restaurants has been 'choppier' than other industries, with competitors like Starbucks abandoning AI inventory tools [3]. AI Opportunity (0/1): Brinker uses AI tools internally for operational intelligence but does not generate revenue from AI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Brinker International Q3 FY2026 Earnings Release — Revenue $1.47B (+3.2%), Chili's 20th Consecutive Quarter of Comp Growth, Raised Guidance, June 2026</w:t>
      </w:r>
    </w:p>
    <w:p>
      <w:pPr>
        <w:spacing w:before="20" w:after="20"/>
        <w:ind w:left="170"/>
      </w:pPr>
      <w:r>
        <w:rPr>
          <w:rFonts w:ascii="Calibri" w:hAnsi="Calibri"/>
          <w:b/>
          <w:color w:val="4A6B25"/>
          <w:sz w:val="15"/>
        </w:rPr>
        <w:t xml:space="preserve">2. </w:t>
      </w:r>
      <w:r>
        <w:rPr>
          <w:rFonts w:ascii="Calibri" w:hAnsi="Calibri"/>
          <w:b w:val="0"/>
          <w:color w:val="3A4A28"/>
          <w:sz w:val="17"/>
        </w:rPr>
        <w:t>Brinker International Q2 FY2026 Earnings Release — Revenue $1.45B (+6.9%), Chili's Comps +8.6%, EPS $2.87, January 2026</w:t>
      </w:r>
    </w:p>
    <w:p>
      <w:pPr>
        <w:spacing w:before="20" w:after="20"/>
        <w:ind w:left="170"/>
      </w:pPr>
      <w:r>
        <w:rPr>
          <w:rFonts w:ascii="Calibri" w:hAnsi="Calibri"/>
          <w:b/>
          <w:color w:val="4A6B25"/>
          <w:sz w:val="15"/>
        </w:rPr>
        <w:t xml:space="preserve">3. </w:t>
      </w:r>
      <w:r>
        <w:rPr>
          <w:rFonts w:ascii="Calibri" w:hAnsi="Calibri"/>
          <w:b w:val="0"/>
          <w:color w:val="3A4A28"/>
          <w:sz w:val="17"/>
        </w:rPr>
        <w:t>Fortune — Brinker's CIO Chris Caldwell on Restaurant Tech Rebuild and AI Strategy, June 2026</w:t>
      </w:r>
    </w:p>
    <w:p>
      <w:pPr>
        <w:spacing w:before="20" w:after="20"/>
        <w:ind w:left="170"/>
      </w:pPr>
      <w:r>
        <w:rPr>
          <w:rFonts w:ascii="Calibri" w:hAnsi="Calibri"/>
          <w:b/>
          <w:color w:val="4A6B25"/>
          <w:sz w:val="15"/>
        </w:rPr>
        <w:t xml:space="preserve">4. </w:t>
      </w:r>
      <w:r>
        <w:rPr>
          <w:rFonts w:ascii="Calibri" w:hAnsi="Calibri"/>
          <w:b w:val="0"/>
          <w:color w:val="3A4A28"/>
          <w:sz w:val="17"/>
        </w:rPr>
        <w:t>Black Box Intelligence — Brinker International AI Case Study: Connecting Guest Sentiment to Financial Performance,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and StockAnalysis.com — EAT Key Statistics, Financial Metrics, and Valuation,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