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EBS</w:t>
      </w:r>
      <w:r>
        <w:rPr>
          <w:rFonts w:ascii="Calibri" w:hAnsi="Calibri"/>
          <w:b/>
          <w:color w:val="1A2010"/>
          <w:sz w:val="40"/>
        </w:rPr>
        <w:t xml:space="preserve">  Emergent BioSolutions, Inc.</w:t>
      </w:r>
    </w:p>
    <w:p>
      <w:pPr>
        <w:spacing w:after="120"/>
      </w:pPr>
      <w:r>
        <w:rPr>
          <w:rFonts w:ascii="Calibri" w:hAnsi="Calibri"/>
          <w:b/>
          <w:color w:val="6E8450"/>
          <w:sz w:val="18"/>
        </w:rPr>
        <w:t>GROWTH SLEEVE · 2026-08-10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&amp; Biodefense · NYSE · United States</w:t>
      </w:r>
    </w:p>
    <w:p>
      <w:pPr>
        <w:spacing w:after="80"/>
      </w:pPr>
      <w:r>
        <w:rPr>
          <w:rFonts w:ascii="Calibri" w:hAnsi="Calibri"/>
          <w:b w:val="0"/>
          <w:color w:val="3A4A28"/>
          <w:sz w:val="20"/>
        </w:rPr>
        <w:t>Emergent BioSolutions is a life sciences company focused on providing preparedness and response solutions for biological and chemical threats, as well as opioid overdose. Core products include NARCAN Nasal Spray (naloxone), anthrax vaccines (BioThrax/CYFENDUS), smallpox/mpox vaccine (ACAM2000), TEMBEXA (brincidofovir), and Ebanga (ansuvimab). The company serves U.S. government agencies through medical countermeasure (MCM) contracts and commercial markets through NARCAN.</w:t>
      </w:r>
    </w:p>
    <w:p>
      <w:r>
        <w:rPr>
          <w:rFonts w:ascii="Calibri" w:hAnsi="Calibri"/>
          <w:b/>
          <w:color w:val="6E8450"/>
          <w:sz w:val="18"/>
        </w:rPr>
        <w:t>900 Employees · https://www.emergentbiosolutions.com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Emergent's primary business activity over the past five years has been fulfilling existing government MCM contracts and managing the NARCAN commercial franchise acquired in 2022, rather than organic product innovation [1]. The company's COVID-19 vaccine manufacturing effort at the Bayview facility was marred by quality control failures that led to destroyed doses and an FDA consent decree. No transformative new product launches or business model pivots. AI Deployment (0/2): CEO Joe Papa mentioned interest in collaborating with AI leaders for bioterrorism preparedness during the Q2 2026 earnings call, but no AI products are shipping and no internal AI-driven efficiencies have been reported [2]. Market Share (1/2): NARCAN retains over 50% share in the nasal naloxone market, but two new OTC and prescription competitors entered in mid-2026, driving a $191M impairment charge and guidance reduction [1][2]. Emergent remains a sole-source or primary supplier for several U.S. government MCM products including anthrax and smallpox countermeasures. Product Pipeline (1/2): Current pipeline includes TEMBEXA for mpox, Ebanga for Ebola, Raxibacumab, and ACAM2000, but these are largely existing products with incremental indication expansions rather than breakthrough next-generation therapies [2]. R&amp;D Intensity (0/1): With only 900 total employees and a restructured cost base targeting $40M in annualized savings, R&amp;D spending is minimal relative to biopharma peers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Emergent's stated mission to 'protect and enhance life' is clear and connected to the company's biodefense purpose, but it is generic and interchangeable with dozens of healthcare companies — it does not articulate a distinctive vision of a future state [3]. The mission does meaningfully guide product selection (anthrax, smallpox, opioid overdose countermeasures), which elevates it above pure boilerplate. Community Impact (1/2): The company's product portfolio inherently serves critical public health needs — NARCAN has saved thousands of lives from opioid overdoses and MCM products protect military and civilian populations from bioterrorism threats [1]. However, no specific charitable foundations, community investment programs, or dollar amounts for philanthropic activity were identified beyond the commercial product mission. Employee Retention (0/2): Glassdoor ratings of 3.4/5 for culture and only 54% of employees recommending the company signal mediocre engagement [4]. The August 2026 restructuring eliminated approximately 90 positions (~10% of the 900-person workforce), two Maryland lab facilities were closed, and management was reorganized — all suggesting instability rather than trust-building [2]. Insider Buying (0/2): No evidence of meaningful net insider buying by CEO Joe Papa or other executives in the last 12 months was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$234.3M revenue (up 66% YoY) driven by lumpy MCM government contract timing, but the company reported a GAAP net loss of $(180.2)M including a $191.3M non-cash NARCAN impairment charge [1]. Full-year 2026 guidance was cut to $645-675M from $720-760M due to NARCAN competitive pressure. D/E of 172% reflects $581.8M total debt against $341.4M equity — elevated but within scoring range. ROE of -40.3% and profit margin of -23% both score at the floor due to persistent GAAP losses. Adjusted EBITDA margin of 41% in Q2 shows underlying MCM business profitability, but GAAP results are what matter for infrastructure scoring. Cash of $139.7M provides near-term liquidity against the $581.8M debt load [1]. Liquidity check: 919,597 avg daily volume × $4.84 = $4.45M, passes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Emergent BioSolutions operates with a predominantly finite mindset under current circumstances. The company's biodefense mission provides a genuine purpose, but recent actions — reactive restructuring, guidance cuts driven by competitive pressure, and a 10% workforce reduction — reflect a company playing to survive this quarter rather than building for decades. The serial CEO transitions and operational missteps (Bayview facility, NARCAN impairment) suggest inconsistent strategic direction rather than infinite game endurance.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Emergent's mission to 'protect and enhance life' through biodefense preparedness is genuine and connects to something larger than profit — the company provides anthrax vaccines to the military, smallpox countermeasures for pandemic preparedness, and NARCAN for opioid overdose reversal [1]. These products serve critical public health needs that the private market would undersupply without government contracts. However, the purpose has not been validated through decades of consistent execution — the company has gone through multiple CEO transitions, the Bayview manufacturing crisis damaged credibility, and strategic direction has shifted between government contracts and commercial products without a clear through-line.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The August 2026 restructuring eliminated ~90 positions (~10% of the workforce), closed two Maryland lab facilities, and reorganized management — actions that erode psychological safety [2]. Glassdoor culture ratings of 3.4/5 and only 54% of employees recommending the company indicate below-average employee sentiment [4]. Reviews describe inconsistent management quality with some praising transparency while others cite unprofessional behavior from upper management and concerns about advancement based on social status rather than competence. Frequent organizational changes and workforce reductions create an environment where employees protect themselves rather than take risks.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Emergent's response to new nasal naloxone competitors entering the market — taking a $191.3M impairment charge and cutting guidance — reflects a finite competitive response rather than learning from rivals' strengths [1]. Management language focused on maintaining 'over 50% market share' rather than acknowledging what competitors do well or using competition as motivation to improve the product [2]. No evidence of leadership referencing worthy rivals or adopting an improvement-oriented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Emergent has demonstrated some strategic adaptation — pivoting from the COVID-19 vaccine manufacturing boom back to core MCM government contracts and the NARCAN commercial franchise, and now restructuring to focus resources on the highest-margin MCM products as NARCAN faces competitive pressure [2]. The company unified R&amp;D and business development under one leadership structure in August 2026 to improve capital allocation. However, these shifts appear driven by market necessity rather than proactive vision, and the company has not demonstrated the kind of transformative pivot that Sinek celebrates — it is contracting, not reinventing.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Recent leadership decisions reflect operational firefighting rather than courageous long-term investment. CEO Joe Papa's primary actions in 2026 have been cutting full-year guidance by $75-85M, taking a $191M impairment charge on NARCAN, reducing headcount by 10%, and closing facilities to achieve $40M in annualized cost savings [1][2]. While these may be necessary tactical decisions, they do not represent the kind of bold, long-term bets that Sinek associates with courage — investing during downturns, entering new markets, or choosing principle over near-term earnings. The company is playing not to lose, not playing to build something enduring.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Emergent BioSolutions delivered strong Q2 2026 MCM revenue of $234.3M (up 66% YoY) with adjusted EBITDA margin expanding to 41%, demonstrating the underlying profitability of its government biodefense franchise [1]. The company remains a critical sole-source or primary supplier of anthrax vaccines, smallpox/mpox countermeasures, and botulism antitoxin to the U.S. government, providing a defensible revenue base with high switching costs. At $4.84 per share and a market cap of ~$248M against $660M in guided revenue, the stock trades at a deeply discounted revenue multiple. The $40M restructuring savings program should improve margins as NARCAN pressure stabilizes, and the MCM portfolio provides a floor supported by multi-year government contracts [2].</w:t>
      </w:r>
    </w:p>
    <w:p>
      <w:pPr>
        <w:spacing w:after="120"/>
      </w:pPr>
      <w:r>
        <w:rPr>
          <w:rFonts w:ascii="Calibri" w:hAnsi="Calibri"/>
          <w:b w:val="0"/>
          <w:color w:val="3A4A28"/>
          <w:sz w:val="20"/>
        </w:rPr>
        <w:t>The bear case is substantial. Full-year 2026 guidance was slashed to $645-675M from $720-760M as two new nasal naloxone competitors erode NARCAN's &gt;50% market share, prompting a $191.3M non-cash impairment charge [1]. GAAP net losses of $(245)M-$(225)M are guided for the full year, and the balance sheet carries $581.8M in debt against only $139.7M in cash — a leverage ratio that limits strategic flexibility. The company has 900 employees after restructuring cuts, minimal R&amp;D capacity, and no near-term growth catalysts beyond the timing of lumpy government MCM orders. With the stock down 61% YTD and trading at $4.84, Emergent is priced as a distressed turnaround whose success depends entirely on maintaining government contract renewals while managing the NARCAN franchise decline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U.S. government MCM contract renewals and potential expanded procurement of anthrax, smallpox, and mpox countermeasures amid ongoing global bioterrorism preparedness concerns</w:t>
      </w:r>
    </w:p>
    <w:p>
      <w:pPr>
        <w:spacing w:before="40" w:after="40"/>
        <w:ind w:left="283"/>
      </w:pPr>
      <w:r>
        <w:rPr>
          <w:rFonts w:ascii="Calibri" w:hAnsi="Calibri"/>
          <w:b/>
          <w:color w:val="4A6B25"/>
          <w:sz w:val="20"/>
        </w:rPr>
        <w:t xml:space="preserve">2. </w:t>
      </w:r>
      <w:r>
        <w:rPr>
          <w:rFonts w:ascii="Calibri" w:hAnsi="Calibri"/>
          <w:b w:val="0"/>
          <w:color w:val="3A4A28"/>
          <w:sz w:val="20"/>
        </w:rPr>
        <w:t>Successful execution of the $40M annualized cost restructuring enabling return to adjusted profitability and potential GAAP breakeven by 2027</w:t>
      </w:r>
    </w:p>
    <w:p>
      <w:pPr>
        <w:spacing w:before="40" w:after="40"/>
        <w:ind w:left="283"/>
      </w:pPr>
      <w:r>
        <w:rPr>
          <w:rFonts w:ascii="Calibri" w:hAnsi="Calibri"/>
          <w:b/>
          <w:color w:val="4A6B25"/>
          <w:sz w:val="20"/>
        </w:rPr>
        <w:t xml:space="preserve">3. </w:t>
      </w:r>
      <w:r>
        <w:rPr>
          <w:rFonts w:ascii="Calibri" w:hAnsi="Calibri"/>
          <w:b w:val="0"/>
          <w:color w:val="3A4A28"/>
          <w:sz w:val="20"/>
        </w:rPr>
        <w:t>TEMBEXA approval for expanded mpox indications and Ebanga for Ebola creating incremental revenue streams beyond core government MCM products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NARCAN market share erosion accelerates as two new nasal naloxone competitors (OTC 4mg and prescription 10mg) undercut pricing and volume, potentially requiring further impairment charges beyond the $191.3M already recognized</w:t>
      </w:r>
    </w:p>
    <w:p>
      <w:pPr>
        <w:spacing w:before="40" w:after="40"/>
        <w:ind w:left="283"/>
      </w:pPr>
      <w:r>
        <w:rPr>
          <w:rFonts w:ascii="Calibri" w:hAnsi="Calibri"/>
          <w:b/>
          <w:color w:val="4A6B25"/>
          <w:sz w:val="20"/>
        </w:rPr>
        <w:t xml:space="preserve">2. </w:t>
      </w:r>
      <w:r>
        <w:rPr>
          <w:rFonts w:ascii="Calibri" w:hAnsi="Calibri"/>
          <w:b w:val="0"/>
          <w:color w:val="3A4A28"/>
          <w:sz w:val="20"/>
        </w:rPr>
        <w:t>Balance sheet stress from $581.8M debt against $139.7M cash constrains the company's ability to invest in R&amp;D, pursue acquisitions, or withstand a prolonged NARCAN downturn without dilutive equity raises or asset sales</w:t>
      </w:r>
    </w:p>
    <w:p>
      <w:pPr>
        <w:spacing w:before="40" w:after="40"/>
        <w:ind w:left="283"/>
      </w:pPr>
      <w:r>
        <w:rPr>
          <w:rFonts w:ascii="Calibri" w:hAnsi="Calibri"/>
          <w:b/>
          <w:color w:val="4A6B25"/>
          <w:sz w:val="20"/>
        </w:rPr>
        <w:t xml:space="preserve">3. </w:t>
      </w:r>
      <w:r>
        <w:rPr>
          <w:rFonts w:ascii="Calibri" w:hAnsi="Calibri"/>
          <w:b w:val="0"/>
          <w:color w:val="3A4A28"/>
          <w:sz w:val="20"/>
        </w:rPr>
        <w:t>Dependence on lumpy U.S. government MCM contract timing creates unpredictable quarterly revenue volatility, and any reduction in federal biodefense budget allocations would directly impact the company's highest-margin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Emergent's core business — manufacturing biological medical countermeasures (anthrax vaccines, smallpox vaccines, botulism antitoxin) for the U.S. government and distributing NARCAN — is fundamentally physical and heavily regulated [1]. Vaccine and biologic manufacturing requires FDA-inspected facilities, trained personnel, sterile environments, and biological material handling that AI cannot substitute. Government biodefense contracts are awarded based on manufacturing capability, regulatory compliance, and security clearances, not information processing. AI poses no meaningful substitution risk to biologic manufacturing or nasal spray production. The sole area of modest AI exposure is in R&amp;D target identification and clinical trial optimization, where AI tools could theoretically reduce Emergent's already-limited competitive advantage in drug development. AI Opportunity (0/1): CEO Papa expressed interest in AI collaboration for bioterrorism preparedness, but no AI-powered products, services, or quantifiable AI-driven revenue streams exist [2]. The company generates zero revenue from AI-related products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Emergent BioSolutions Q2 2026 Earnings Release — Second Quarter Financial Results, August 6, 2026</w:t>
      </w:r>
    </w:p>
    <w:p>
      <w:pPr>
        <w:spacing w:before="20" w:after="20"/>
        <w:ind w:left="170"/>
      </w:pPr>
      <w:r>
        <w:rPr>
          <w:rFonts w:ascii="Calibri" w:hAnsi="Calibri"/>
          <w:b/>
          <w:color w:val="4A6B25"/>
          <w:sz w:val="15"/>
        </w:rPr>
        <w:t xml:space="preserve">2. </w:t>
      </w:r>
      <w:r>
        <w:rPr>
          <w:rFonts w:ascii="Calibri" w:hAnsi="Calibri"/>
          <w:b w:val="0"/>
          <w:color w:val="3A4A28"/>
          <w:sz w:val="17"/>
        </w:rPr>
        <w:t>Emergent BioSolutions Q2 2026 Earnings Call Transcript — CEO Joe Papa and CFO Rich Lindahl, August 2026</w:t>
      </w:r>
    </w:p>
    <w:p>
      <w:pPr>
        <w:spacing w:before="20" w:after="20"/>
        <w:ind w:left="170"/>
      </w:pPr>
      <w:r>
        <w:rPr>
          <w:rFonts w:ascii="Calibri" w:hAnsi="Calibri"/>
          <w:b/>
          <w:color w:val="4A6B25"/>
          <w:sz w:val="15"/>
        </w:rPr>
        <w:t xml:space="preserve">3. </w:t>
      </w:r>
      <w:r>
        <w:rPr>
          <w:rFonts w:ascii="Calibri" w:hAnsi="Calibri"/>
          <w:b w:val="0"/>
          <w:color w:val="3A4A28"/>
          <w:sz w:val="17"/>
        </w:rPr>
        <w:t>Emergent BioSolutions Corporate Website — Mission Statement and Company Overview,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 Emergent BioSolutions Employee Reviews and Ratings,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StockAnalysis — EBS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