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EWBC</w:t>
      </w:r>
      <w:r>
        <w:rPr>
          <w:rFonts w:ascii="Calibri" w:hAnsi="Calibri"/>
          <w:b/>
          <w:color w:val="1A2010"/>
          <w:sz w:val="40"/>
        </w:rPr>
        <w:t xml:space="preserve">  East West Bancorp, Inc.</w:t>
      </w:r>
    </w:p>
    <w:p>
      <w:pPr>
        <w:spacing w:after="120"/>
      </w:pPr>
      <w:r>
        <w:rPr>
          <w:rFonts w:ascii="Calibri" w:hAnsi="Calibri"/>
          <w:b/>
          <w:color w:val="6E8450"/>
          <w:sz w:val="18"/>
        </w:rPr>
        <w:t>DIVIDEND SLEEVE · 2026-08-05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East West Bancorp operates as the bank holding company for East West Bank, the largest independent bank focused on U.S.-Asia cross-border commerce and the largest minority-operated FDIC-insured depository institution in the U.S. The bank provides commercial and residential lending, trade finance, foreign exchange, and wealth management services across eight states, with $78B+ in total assets and record loans of $59.0B and deposits of $70.1B as of Q2 2026.</w:t>
      </w:r>
    </w:p>
    <w:p>
      <w:r>
        <w:rPr>
          <w:rFonts w:ascii="Calibri" w:hAnsi="Calibri"/>
          <w:b/>
          <w:color w:val="6E8450"/>
          <w:sz w:val="18"/>
        </w:rPr>
        <w:t>3,350 Employees · https://www.eastwestbank.com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East West has grown steadily under CEO Ng's 34-year tenure, expanding total loans to a record $59.0B and deposits to $70.1B in Q2 2026, with fee income reaching consecutive quarterly records [1]. However, this represents incremental market expansion rather than transformative product launches or business model pivots. AI Deployment (0/2): East West has deployed AI-powered chatbots for customer service and describes its technology strategy as 'fast adopter, not pioneer,' prioritizing security over innovation [2]. No quantified AI-driven cost savings or AI products generating measurable revenue were identified. Market Share (1/2): East West occupies a unique and meaningful niche as the largest independent bank focused on U.S.-China cross-border commerce, but it is not a category-defining leader in the broader banking industry [1]. Product Pipeline (0/2): No next-generation banking products or platforms announced with specific timelines or revenue visibility. R&amp;D Intensity (0/1): Banks do not report traditional R&amp;D metrics, and no evidence of above-average technology investment relative to regional bank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East West Bank's purpose centers on connecting communities across borders and enabling U.S.-Asia cross-Pacific commerce — clear and relevant to its niche but not deeply distinctive or transformative beyond its customer base [2]. It identifies what the bank does and for whom without articulating a broader vision of a better future. Community Impact (1/2): The bank invested $168.98M in affordable housing tax credits, developing and preserving 2,158 units across 18+ states, and holds an 'Outstanding' Community Reinvestment Act rating [3]. This is meaningful community investment with specific dollar amounts, though affordable housing tax credits also provide financial benefits to the bank. Employee Retention (1/2): CEO Ng's 'Spirit of Ownership' program grants every employee equal annual stock awards, fostering an ownership mindset across the 3,350-person workforce [2]. However, Glassdoor reviews (3.7/5) cite mixed experiences — friendly coworkers and good benefits are offset by reports of political management and fear-based motivation in some departments. Insider Buying (0/2): No evidence of meaningful net insider buying by CEO Ng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East West Bancorp delivers exceptional financial fundamentals across virtually every metric. D/E of 10.73% is minimal for a bank, well below the 70% target [4]. ROE of 16.58% exceeds the 15% target, driven by Q2 2026 record net income of $364M [1]. Revenue growth of 12% YoY (record $791M Q2 revenue) exceeds the 10% target, though the 5yr CAGR of ~8% scores 0.87 below the 10% target [1]. Forward P/E of 12.08 is deeply discounted below the 20 target. Profit margin of ~46% far exceeds the 20% target. The dividend profile is outstanding: payout ratio of ~23% is well below the 40% target, with 27 consecutive years of payments at 2x weight, 15 consecutive years of growth, and a 5yr dividend growth CAGR of ~16.9% at 2x weight [4]. Only the 5yr revenue CAGR prevents a perfect score. Liquidity is ample at ~$147M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East West Bancorp benefits from CEO Dominic Ng's remarkably long 34-year tenure, which provides extraordinary strategic consistency, and the transformation from a small S&amp;L to a $78B+ international bank demonstrates genuine long-term vision. However, the company's purpose remains oriented around financial performance metrics — Q2 2026 guidance emphasized raised loan growth and NII targets — rather than a transcendent cause. Glassdoor reviews revealing fear-based management in some departments and the absence of a learning-oriented competitive mindset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East West Bank's purpose of bridging U.S.-Asia commerce is functional and market-specific but does not articulate a vision of a future state that transcends the business itself [2]. Strategic decisions are framed around growth targets and return metrics — Q2 2026 guidance emphasized raised NII growth to 7-9% and loan growth to 6-8% [1] — rather than a cause people would sacrifice to advance. The bank's role serving minority and immigrant communities adds purpose, but this is embedded in the business model rather than articulated as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'Spirit of Ownership' stock program distributes equal shares to all employees annually, demonstrating commitment to shared success [2]. However, Glassdoor reviews (3.7/5) present a mixed picture — while many cite friendly coworkers and good benefits, multiple reviews describe political management, constant reorganization, and leadership that 'motivates through fear (yelling and threatening)' [2]. This suggests pockets of low trust within the organization despite institutional programs designed to foster alignment.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competitive dynamics as motivation for self-improvement. Earnings commentary and investor presentations focus on East West's own growth metrics and market positioning rather than learning from rivals in the regional banking space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Dominic Ng's leadership, East West Bank transformed from a $600M-asset savings and loan association in 1991 into a $78B+ international commercial bank — a meaningful strategic evolution over three decades [2]. The bank successfully pivoted from domestic consumer banking to cross-border commercial banking, entering trade finance, foreign exchange, and wealth management. However, this was incremental capability expansion over 34 years rather than a transformative pivot that abandoned a profitable legacy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Ng's 34-year tenure through multiple banking crises — the 2008 financial crisis, pandemic disruptions, and the 2023 regional banking crisis — demonstrates exceptional staying power [2]. The bank maintained its dividend through all cycles and continued investing in cross-border capabilities when competitors pulled back from China-related banking amid geopolitical tensions. However, no specific examples of sacrificing near-term earnings for long-term capability building were identified — the bank has consistently delivered strong quarterly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 West Bancorp is a financially excellent regional bank with a unique U.S.-Asia corridor niche generating industry-leading returns. Q2 2026 delivered record results — $364M net income (+18% YoY), record revenue of $791M (+12% YoY), record NII of $685M, and record loans of $59.0B [1]. Management raised full-year NII guidance to 7-9% growth and loan growth guidance to 6-8%, signaling continued momentum. The 16.58% ROE, 12.08x forward P/E, and 46% profit margin represent exceptional value for a bank growing revenue at 12% YoY. The dividend profile is outstanding: 2.44% yield with only 23% payout ratio, 15 consecutive years of growth, and a 16.9% 5-year dividend growth CAGR, funded by robust earnings power [4].</w:t>
      </w:r>
    </w:p>
    <w:p>
      <w:pPr>
        <w:spacing w:after="120"/>
      </w:pPr>
      <w:r>
        <w:rPr>
          <w:rFonts w:ascii="Calibri" w:hAnsi="Calibri"/>
          <w:b w:val="0"/>
          <w:color w:val="3A4A28"/>
          <w:sz w:val="20"/>
        </w:rPr>
        <w:t>The bear case centers on geopolitical concentration risk. U.S.-China trade tensions, tariffs, and potential regulatory scrutiny of cross-border banking could materially impair East West's core competitive advantage — the bank's niche strength becomes a vulnerability if cross-Pacific commerce is disrupted [1]. The company's 2026 loan growth guidance of 6-8%, while raised, remains cautious amid tariff uncertainty. Glassdoor reviews citing political management and fear-based motivation in some departments (3.7/5 rating) suggest cultural challenges that could impair the bank's ability to attract top talent and innovate as fintech competition intensifies [2]. The low innovation score reflects a 'fast follower' technology strategy that may leave the bank exposed to more digitally advanced competitors over time. Commercial real estate concentration in California markets poses credit risk if CRE valuations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U.S.-Asia trade finance demand as companies diversify supply chains beyond China into Southeast Asia, expanding East West's addressable market and validating the cross-border banking niche [1]</w:t>
      </w:r>
    </w:p>
    <w:p>
      <w:pPr>
        <w:spacing w:before="40" w:after="40"/>
        <w:ind w:left="283"/>
      </w:pPr>
      <w:r>
        <w:rPr>
          <w:rFonts w:ascii="Calibri" w:hAnsi="Calibri"/>
          <w:b/>
          <w:color w:val="4A6B25"/>
          <w:sz w:val="20"/>
        </w:rPr>
        <w:t xml:space="preserve">2. </w:t>
      </w:r>
      <w:r>
        <w:rPr>
          <w:rFonts w:ascii="Calibri" w:hAnsi="Calibri"/>
          <w:b w:val="0"/>
          <w:color w:val="3A4A28"/>
          <w:sz w:val="20"/>
        </w:rPr>
        <w:t>Fee income momentum: record quarterly fee income with management targeting continued double-digit YoY growth, diversifying revenue beyond net interest income dependence [1]</w:t>
      </w:r>
    </w:p>
    <w:p>
      <w:pPr>
        <w:spacing w:before="40" w:after="40"/>
        <w:ind w:left="283"/>
      </w:pPr>
      <w:r>
        <w:rPr>
          <w:rFonts w:ascii="Calibri" w:hAnsi="Calibri"/>
          <w:b/>
          <w:color w:val="4A6B25"/>
          <w:sz w:val="20"/>
        </w:rPr>
        <w:t xml:space="preserve">3. </w:t>
      </w:r>
      <w:r>
        <w:rPr>
          <w:rFonts w:ascii="Calibri" w:hAnsi="Calibri"/>
          <w:b w:val="0"/>
          <w:color w:val="3A4A28"/>
          <w:sz w:val="20"/>
        </w:rPr>
        <w:t>Dividend growth acceleration: 16.9% 5-year CAGR with payout ratio under 23% provides substantial runway for continued aggressive dividend increases well above inflation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U.S.-China geopolitical escalation including new tariffs, sanctions, or regulatory restrictions on cross-border banking could directly impair East West's core competitive advantage and niche positioning</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concentration risk in California markets where East West has significant loan exposure, particularly if CRE valuations decline in a sustained higher-rate environment</w:t>
      </w:r>
    </w:p>
    <w:p>
      <w:pPr>
        <w:spacing w:before="40" w:after="40"/>
        <w:ind w:left="283"/>
      </w:pPr>
      <w:r>
        <w:rPr>
          <w:rFonts w:ascii="Calibri" w:hAnsi="Calibri"/>
          <w:b/>
          <w:color w:val="4A6B25"/>
          <w:sz w:val="20"/>
        </w:rPr>
        <w:t xml:space="preserve">3. </w:t>
      </w:r>
      <w:r>
        <w:rPr>
          <w:rFonts w:ascii="Calibri" w:hAnsi="Calibri"/>
          <w:b w:val="0"/>
          <w:color w:val="3A4A28"/>
          <w:sz w:val="20"/>
        </w:rPr>
        <w:t>Cultural and operational stagnation: Glassdoor reviews (3.7/5) cite political management and fear-based motivation, while the 'fast follower' technology strategy may leave the bank vulnerable to fintech competitors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East West Bank's core business — commercial and real estate lending, trade finance, and cross-border banking — is deeply relationship-driven and regulated, creating meaningful switching costs that AI cannot easily displace [1][2]. The U.S.-Asia corridor niche requires cultural expertise, multilingual capabilities, and regulatory knowledge across multiple jurisdictions that insulates the bank from fintech and AI disruption. Some back-office functions (loan processing, compliance, customer service) face AI automation pressure, but the core revenue drivers — net interest income from relationship lending and fee income from trade finance — remain structurally defensible. AI Opportunity (0/1): AI chatbots have been deployed for customer service, but no quantifiable AI revenue is generated. Management describes the bank as a 'fast adopter, not pioneer' of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 West Bancorp Q2 2026 Earnings Release — Record Revenue $791M, Net Income $364M, Raised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East West Bank Corporate Website, Glassdoor Reviews (3.7/5), and Morgan Stanley US Financials Conference 2026 — Technology Strategy and Culture,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East West Bank 2023 ESG Report — $168.98M Affordable Housing Investment, Outstanding CRA Rating,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Robinhood — EWBC Stock Price, Forward P/E, ROE, Dividend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