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FIP</w:t>
      </w:r>
      <w:r>
        <w:rPr>
          <w:rFonts w:ascii="Calibri" w:hAnsi="Calibri"/>
          <w:b/>
          <w:color w:val="1A2010"/>
          <w:sz w:val="40"/>
        </w:rPr>
        <w:t xml:space="preserve">  FTAI Infrastructure Inc.</w:t>
      </w:r>
    </w:p>
    <w:p>
      <w:pPr>
        <w:spacing w:after="120"/>
      </w:pPr>
      <w:r>
        <w:rPr>
          <w:rFonts w:ascii="Calibri" w:hAnsi="Calibri"/>
          <w:b/>
          <w:color w:val="6E8450"/>
          <w:sz w:val="18"/>
        </w:rPr>
        <w:t>GROWTH SLEEVE · 2026-08-09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Infrastructure Operations · NASDAQ · United States</w:t>
      </w:r>
    </w:p>
    <w:p>
      <w:pPr>
        <w:spacing w:after="80"/>
      </w:pPr>
      <w:r>
        <w:rPr>
          <w:rFonts w:ascii="Calibri" w:hAnsi="Calibri"/>
          <w:b w:val="0"/>
          <w:color w:val="3A4A28"/>
          <w:sz w:val="20"/>
        </w:rPr>
        <w:t>FTAI Infrastructure Inc. develops, acquires, owns, and operates transportation and energy infrastructure businesses across North America. Key assets include Jefferson Terminal (crude oil storage and processing in Beaumont, Texas), Transtar Railroad (short-line railroad serving the Pittsburgh industrial corridor), Repauno (LNG and industrial gas facility in New Jersey), and Power and Gas operations including the Long Ridge Energy Terminal. Spun off from FTAI Aviation Ltd. in August 2022, externally managed by Fortress Investment Group.</w:t>
      </w:r>
    </w:p>
    <w:p>
      <w:r>
        <w:rPr>
          <w:rFonts w:ascii="Calibri" w:hAnsi="Calibri"/>
          <w:b/>
          <w:color w:val="6E8450"/>
          <w:sz w:val="18"/>
        </w:rPr>
        <w:t>2,500 Employees · https://www.fipinc.com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FIP completed the Jefferson Terminal SSP bi-directional pipeline project and achieved record quarterly railroad revenues in Q2 2026, with total revenue nearly doubling YoY to $186.8M from $122.3M [1]. The Transtar Railroad acquisition expanded the company's rail network. However, the growth strategy is fundamentally acquisition-driven rather than organically innovative, and the company continues to generate massive net losses ($603.5M TTM) despite revenue growth [2]. AI Deployment (0/2): No evidence of AI deployment in any segment. Infrastructure operations (railroads, oil terminals, power plants) use traditional operational technology [3]. Market Share (0/2): FIP operates niche infrastructure assets — a short-line railroad serving Pittsburgh steel mills, a crude terminal in Beaumont — but holds no leadership position in any broad market category [1][3]. Product Pipeline (1/2): Repauno Phase Two LNG facility targeting early 2027 operations commencement, and Jefferson Terminal new crude contracts expected to add over $50M in annual incremental EBITDA [1]. Specific projects with timelines provide visibility. R&amp;D Intensity (0/1): Infrastructure companies do not report R&amp;D spending. Capital expenditure of $129M in H1 2026 reflects asset investment, not research and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FIP's stated purpose — 'develop, acquire, own and operate transportation and energy infrastructure businesses in key markets throughout North America' — is a business operations description, not a mission [3]. It articulates what the company does but not why it exists beyond generating returns for shareholders. There is no vision of a better future or broader purpose. Generic and interchangeable with any infrastructure holding company. Community Impact (0/2): No company-level charitable programs or community investments identified. Board member Ray Robinson is involved with the East Lake Community Foundation in a personal capacity, but no corporate philanthropy was found [3]. Employee Retention (0/2): No employee culture data, Glassdoor reviews, or retention metrics available. The company is externally managed by Fortress Investment Group, which creates a structural separation between management and operating employees [3]. Insider Buying (0/2): No evidence of insider buying by CEO Ken Nicholson or other executives in the last 12 months. External management structure means executives' economic interests are aligned through the Fortress management fee, not direct equity ownership.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FIP has deeply distressed financials — negative stockholders' equity of -$518.7M, total debt of $2.76B, net loss of $603.5M TTM, and interest expense of $105.5M per quarter that exceeds segment EBITDA in most periods [1]. Revenue growth of 72.3% YoY is the sole positive metric, driven by the Transtar acquisition and Jefferson Terminal volume ramp [2]. Profit margin is approximately -92% (net loss of $603.5M on $659.2M revenue), and Q2 2026 included a $63.2M asset impairment [1]. The Long Ridge Energy Terminal sale is planned to eliminate $1.16B in debt and repay approximately $300M in additional obligations, which would improve the balance sheet but at the cost of the company's highest-EBITDA segment [1]. D/E and ROE are not calculable with negative equity. The company is precariously leveraged for an infrastructure operator.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FTAI Infrastructure is a deeply finite player — an externally managed infrastructure holding company spun off from FTAI Aviation in 2022, managed by Fortress Investment Group, with no articulated purpose beyond asset ownership and returns. The company has no Just Cause, a short management track record (3.3-year average tenure), and a governance structure where the external manager's fee-based incentives may diverge from long-term shareholder interests. Sinek would identify this as an entity that exists to generate financial returns, not to advance a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FIP has no Just Cause. The company's stated purpose — owning and operating infrastructure for returns — is a financial objective, not a vision of a future state [3]. There is no articulated reason the company exists beyond generating revenue from physical assets. The external management structure by Fortress Investment Group further reinforces the financial-first framing — the company is essentially an investment vehicle, not a purpose-driven organization. Sinek would classify this as a textbook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Average management tenure of 3.3 years reflects the company's youth (August 2022 spin-off), providing insufficient track record to assess organizational trust [5]. The external management structure by Fortress Investment Group creates inherent distance between corporate leadership and operating employees — executives serve as investment managers, not mission-driven leaders embedded in the organization. No employee culture data, Glassdoor reviews, or retention metrics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FIP operates niche infrastructure assets without meaningful direct competitors in most segments (short-line railroad, specific crude terminal) [1][3]. The company's communications focus on asset-level EBITDA and debt reduction targets rather than competitive dynamics or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FIP has existed for approximately four years since its August 2022 spin-off and has not faced an existential strategic test [3]. The Long Ridge sale and Repauno expansion represent portfolio management, not transformative pivots. The company is still defining its identity and business mix — too young to have demonstrated the kind of existential flexibility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the Long Ridge Energy Terminal sale to eliminate $1.16B in debt demonstrates willingness to sacrifice a high-EBITDA asset for long-term balance sheet health [1]. Management continues to invest in Jefferson Terminal SSP expansion and Repauno Phase Two despite operating losses exceeding $600M, showing commitment to the long-term asset strategy. However, these decisions are driven by financial necessity (unsustainable leverage) rather than courageous strategic choice — the company has no alternative but to delever.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FTAI Infrastructure offers a deep-value bet on physical infrastructure assets at distressed pricing — $504M market cap for $5.75B in total assets including the Transtar Railroad (record $42.4M quarterly EBITDA), Jefferson Terminal (crude processing hub with $50M+ incremental annual EBITDA from new contracts), and the Repauno LNG facility (Phase Two targeting early 2027) [1][2]. Revenue grew 72.3% YoY to $659M TTM, and four-segment adjusted EBITDA reached $83M in Q2 2026. The Long Ridge sale should eliminate $1.46B in combined debt, potentially unlocking $300-500M in equity value and reducing interest expense by $40M+ annually. At $4.27/share with analyst targets of $9.94 (+133% upside), FIP offers asymmetric upside if deleveraging succeeds and Jefferson Terminal crude volumes ramp as projected.</w:t>
      </w:r>
    </w:p>
    <w:p>
      <w:pPr>
        <w:spacing w:after="120"/>
      </w:pPr>
      <w:r>
        <w:rPr>
          <w:rFonts w:ascii="Calibri" w:hAnsi="Calibri"/>
          <w:b w:val="0"/>
          <w:color w:val="3A4A28"/>
          <w:sz w:val="20"/>
        </w:rPr>
        <w:t>The bear case is severe and structural. FIP has negative stockholders' equity of -$518.7M, $2.76B in debt, and interest expense of $105.5M per quarter that consumed more than the $76.1M adjusted EBITDA in Q2 2026 [1]. The company lost $603.5M TTM including $63.2M in asset impairments, and H1 2026 operating cash flow was negative $30.3M — the company is burning cash, not generating it. The Long Ridge sale, while necessary for survival, eliminates the Power and Gas segment ($27.4M Q2 EBITDA) — the company is selling its best asset to service debt on weaker assets. The external management structure by Fortress Investment Group creates governance risk: management fees are based on assets, not returns, incentivizing asset accumulation and leverage over shareholder value [3]. The $0.03/quarter dividend ($0.12/year) is nominal but unsustainable at current loss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Long Ridge Energy Terminal sale closing would eliminate $1.16B in debt and repay approximately $300M additional obligations, potentially transforming the balance sheet from distressed to manageable</w:t>
      </w:r>
    </w:p>
    <w:p>
      <w:pPr>
        <w:spacing w:before="40" w:after="40"/>
        <w:ind w:left="283"/>
      </w:pPr>
      <w:r>
        <w:rPr>
          <w:rFonts w:ascii="Calibri" w:hAnsi="Calibri"/>
          <w:b/>
          <w:color w:val="4A6B25"/>
          <w:sz w:val="20"/>
        </w:rPr>
        <w:t xml:space="preserve">2. </w:t>
      </w:r>
      <w:r>
        <w:rPr>
          <w:rFonts w:ascii="Calibri" w:hAnsi="Calibri"/>
          <w:b w:val="0"/>
          <w:color w:val="3A4A28"/>
          <w:sz w:val="20"/>
        </w:rPr>
        <w:t>Jefferson Terminal crude volume ramp from new contracts expected to add over $50M in annual incremental EBITDA, driven by the completed SSP bi-directional pipeline enabling Gulf Coast crude access</w:t>
      </w:r>
    </w:p>
    <w:p>
      <w:pPr>
        <w:spacing w:before="40" w:after="40"/>
        <w:ind w:left="283"/>
      </w:pPr>
      <w:r>
        <w:rPr>
          <w:rFonts w:ascii="Calibri" w:hAnsi="Calibri"/>
          <w:b/>
          <w:color w:val="4A6B25"/>
          <w:sz w:val="20"/>
        </w:rPr>
        <w:t xml:space="preserve">3. </w:t>
      </w:r>
      <w:r>
        <w:rPr>
          <w:rFonts w:ascii="Calibri" w:hAnsi="Calibri"/>
          <w:b w:val="0"/>
          <w:color w:val="3A4A28"/>
          <w:sz w:val="20"/>
        </w:rPr>
        <w:t>Repauno Phase Two LNG facility targeting early 2027 operations commencement could add a significant new revenue stream to diversify beyond railroad and terminal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equity of -$518.7M and $2.76B in debt with $105.5M quarterly interest expense create existential leverage risk — if the Long Ridge sale fails to close, the company faces potential covenant violations or restructuring</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by Fortress Investment Group creates structural conflicts — management fees incentivize asset accumulation rather than shareholder returns, and the 3.3-year average management tenure provides limited accountability track record</w:t>
      </w:r>
    </w:p>
    <w:p>
      <w:pPr>
        <w:spacing w:before="40" w:after="40"/>
        <w:ind w:left="283"/>
      </w:pPr>
      <w:r>
        <w:rPr>
          <w:rFonts w:ascii="Calibri" w:hAnsi="Calibri"/>
          <w:b/>
          <w:color w:val="4A6B25"/>
          <w:sz w:val="20"/>
        </w:rPr>
        <w:t xml:space="preserve">3. </w:t>
      </w:r>
      <w:r>
        <w:rPr>
          <w:rFonts w:ascii="Calibri" w:hAnsi="Calibri"/>
          <w:b w:val="0"/>
          <w:color w:val="3A4A28"/>
          <w:sz w:val="20"/>
        </w:rPr>
        <w:t>Quarterly $0.03/share dividend is not covered by earnings or operating cash flow (negative $30.3M in H1 2026), and continued payment represents a choice to distribute cash the company cannot afford to lose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FTAI Infrastructure's core businesses — railroad operations, crude oil storage and processing, LNG facility operations, and power generation — are entirely physical-world activities that AI structurally cannot displace [1][3]. Moving crude oil through pipelines, operating short-line railroads, and generating electricity require massive physical infrastructure, regulatory permits, and geographic specificity that exist completely outside AI's substitution capabilities. Rising AI data center demand may actually increase power consumption, potentially benefiting FIP's Power and Gas segment. The company's competitive moat is the physical assets themselves — you cannot AI your way to a deep-water crude terminal or a railroad right-of-way. AI Opportunity (0/1): No evidence of AI-related revenue or AI-powered products. Infrastructure operations use traditional operational technology and SCADA systems without reported AI integration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FTAI Infrastructure Q2 2026 Earnings Release —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FIP Key Statistics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FTAI Infrastructure About Us and Corporate Overview — fipinc.com,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FIP Q1 2026 Earnings Preview and Analysis, May 2026</w:t>
      </w:r>
    </w:p>
    <w:p>
      <w:pPr>
        <w:spacing w:before="20" w:after="20"/>
        <w:ind w:left="170"/>
      </w:pPr>
      <w:r>
        <w:rPr>
          <w:rFonts w:ascii="Calibri" w:hAnsi="Calibri"/>
          <w:b/>
          <w:color w:val="4A6B25"/>
          <w:sz w:val="15"/>
        </w:rPr>
        <w:t xml:space="preserve">5. </w:t>
      </w:r>
      <w:r>
        <w:rPr>
          <w:rFonts w:ascii="Calibri" w:hAnsi="Calibri"/>
          <w:b w:val="0"/>
          <w:color w:val="3A4A28"/>
          <w:sz w:val="17"/>
        </w:rPr>
        <w:t>SimplyWallSt — FIP Management Team and Leadership 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