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GNRC</w:t>
      </w:r>
      <w:r>
        <w:rPr>
          <w:rFonts w:ascii="Calibri" w:hAnsi="Calibri"/>
          <w:b/>
          <w:color w:val="1A2010"/>
          <w:sz w:val="40"/>
        </w:rPr>
        <w:t xml:space="preserve">  Generac Holdings Inc.</w:t>
      </w:r>
    </w:p>
    <w:p>
      <w:pPr>
        <w:spacing w:after="120"/>
      </w:pPr>
      <w:r>
        <w:rPr>
          <w:rFonts w:ascii="Calibri" w:hAnsi="Calibri"/>
          <w:b/>
          <w:color w:val="6E8450"/>
          <w:sz w:val="18"/>
        </w:rPr>
        <w:t>GROWTH SLEEVE · 2026-08-06 · Inspire: 54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FFF8E1" w:val="clear"/>
          </w:tcPr>
          <w:p>
            <w:pPr>
              <w:spacing w:before="40" w:after="40"/>
              <w:jc w:val="center"/>
            </w:pPr>
            <w:r>
              <w:rPr>
                <w:rFonts w:ascii="Calibri" w:hAnsi="Calibri"/>
                <w:b/>
                <w:color w:val="D97706"/>
                <w:sz w:val="20"/>
              </w:rPr>
              <w:t>HOLD</w:t>
            </w:r>
          </w:p>
        </w:tc>
      </w:tr>
    </w:tbl>
    <w:p>
      <w:pPr>
        <w:spacing w:before="120" w:after="200"/>
      </w:pPr>
      <w:r>
        <w:rPr>
          <w:rFonts w:ascii="Calibri" w:hAnsi="Calibri"/>
          <w:b/>
          <w:color w:val="1A2010"/>
          <w:sz w:val="80"/>
        </w:rPr>
        <w:t>65</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Industrials · Specialty Industrial Machinery · NYSE · United States</w:t>
      </w:r>
    </w:p>
    <w:p>
      <w:pPr>
        <w:spacing w:after="80"/>
      </w:pPr>
      <w:r>
        <w:rPr>
          <w:rFonts w:ascii="Calibri" w:hAnsi="Calibri"/>
          <w:b w:val="0"/>
          <w:color w:val="3A4A28"/>
          <w:sz w:val="20"/>
        </w:rPr>
        <w:t>Generac Holdings Inc. designs, manufactures, and sells power generation equipment, energy storage systems, and energy technology solutions for residential, commercial, and industrial applications worldwide. Products include standby generators, portable generators, energy storage systems, power washers, and grid services software. The company is increasingly focused on data center power solutions and AI infrastructure enablement. Founded in 1959 and headquartered in Waukesha, Wisconsin.</w:t>
      </w:r>
    </w:p>
    <w:p>
      <w:r>
        <w:rPr>
          <w:rFonts w:ascii="Calibri" w:hAnsi="Calibri"/>
          <w:b/>
          <w:color w:val="6E8450"/>
          <w:sz w:val="18"/>
        </w:rPr>
        <w:t>9,500 Employees · https://www.generac.com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(2/3): Generac has successfully expanded from a residential generator company into a diversified energy technology platform — C&amp;I sales are now projected to grow 30%+ in 2026, driven by the data center power opportunity that opened an entirely new high-growth revenue stream [1]. The pivot from purely residential to include energy storage, grid services, and data center power represents a significant business model transformation over the past 5 years. AI Deployment (1/2): While Generac does not deploy AI in its products directly, its power solutions are essential infrastructure for AI data centers — a global supply agreement with an undisclosed hyperscaler was signed June 2, 2026, making Generac's products directly enabling AI computing at scale [2]. No internal AI-driven cost savings quantified. Market Share (2/2): Generac commands approximately 75% of the U.S. residential standby generator market, a category it essentially defined and continues to dominate [1]. In C&amp;I power, the company is the fastest-growing challenger against incumbents Caterpillar and Cummins. Product Pipeline (2/2): The hyperscaler supply agreement provides specific revenue visibility for data center power solutions, C&amp;I segment guided to grow 30%+ in 2026, and new energy storage and grid services products are in active deployment with named customer wins [1][2]. R&amp;D Intensity (1/1): Generac invests significantly in energy technology R&amp;D across power electronics, battery storage, grid-edge intelligence, and C&amp;I power solutions — R&amp;D spending is above industry average for specialty industrial machinery.</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DC2626"/>
          <w:sz w:val="16"/>
        </w:rPr>
        <w:t xml:space="preserve"> WEAK </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Generac's purpose of 'Powering a Smarter World' is clear and connects the company's products to a larger vision of energy resilience and technological enablement, but it is not deeply distinctive — it could describe any energy technology company [3]. The 67-year history of powering through outages adds some depth. Community Impact (1/2): Generac has published annual ESG reports since 2021 documenting community engagement, product sustainability, and social responsibility initiatives, though specific program details and dollar amounts were not identified in search results [3]. Employee Retention (0/2): Glassdoor reviews cite benefits and culture as positives but rate the executive team C- (bottom 30% of similarly-sized companies), with senior leadership cited as the primary negative [2]. No specific retention or tenure data available. Insider Buying (0/2): The absence of insider buying was specifically noted in analyst commentary as a risk factor for GNRC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16A34A"/>
          <w:sz w:val="16"/>
        </w:rPr>
        <w:t xml:space="preserve"> STRONG </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Mechanically scored on available metrics. Q2 2026 delivered $1,173.5M revenue (up 10.6% YoY) with adjusted EPS of $2.91 crushing the $1.95 consensus estimate by 49%, driven by C&amp;I data center demand and a $71M pre-tax tariff refund benefit [1]. D/E of 52% is well below the 70% target, reflecting prudent capital structure. ROE of 6.28% is the primary weakness, falling well below the 15% target and dragging the score — management is working to improve returns through margin expansion (EBITDA margin guidance raised to 20-21% from 18.5-19.5%) [1]. GAAP net profit margin of 3.79% is near-floor, reflecting D&amp;A on acquisitions and restructuring costs. Forward P/E of 24.35 is above the 20 target but reasonable for a company guided to mid-to-high teens revenue growth. Forward PEG of 1.46 indicates the stock is not unreasonably valued relative to its growth rate [4].</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Generac under CEO Aaron Jagdfeld's 18-year tenure demonstrates meaningful infinite game characteristics — the company has consistently invested in expanding beyond residential generators into C&amp;I, energy storage, and data center power, building long-term capability through market cycles. The 67-year institutional history and Jagdfeld's 30+ year tenure at the company signal an organization that plays to keep playing. However, the executive team's C- rating, absence of insider buying, and lack of a deeply articulated Just Cause prevent a higher score.</w:t>
      </w:r>
    </w:p>
    <w:p>
      <w:pPr>
        <w:spacing w:before="200" w:after="40"/>
      </w:pPr>
      <w:r>
        <w:rPr>
          <w:rFonts w:ascii="Calibri" w:hAnsi="Calibri"/>
          <w:b/>
          <w:color w:val="1A2010"/>
          <w:sz w:val="22"/>
        </w:rPr>
        <w:t>Just Cause</w:t>
      </w:r>
    </w:p>
    <w:p>
      <w:pPr>
        <w:spacing w:before="0" w:after="40"/>
      </w:pPr>
      <w:r>
        <w:rPr>
          <w:rFonts w:ascii="Calibri" w:hAnsi="Calibri"/>
          <w:b/>
          <w:color w:val="16A34A"/>
          <w:sz w:val="28"/>
        </w:rPr>
        <w:t>7</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858"/>
            <w:shd w:fill="16A34A" w:val="clear"/>
          </w:tcPr>
          <w:p>
            <w:pPr>
              <w:spacing w:before="0" w:after="0"/>
            </w:pPr>
            <w:r>
              <w:rPr>
                <w:rFonts w:ascii="Calibri" w:hAnsi="Calibri"/>
                <w:b w:val="0"/>
                <w:color w:val="1A2010"/>
                <w:sz w:val="4"/>
              </w:rPr>
            </w:r>
          </w:p>
        </w:tc>
        <w:tc>
          <w:tcPr>
            <w:tcW w:type="dxa" w:w="1654"/>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Just Cause (2/3): 'Powering a Smarter World' is a genuine cause that connects Generac's work to energy resilience and technological progress — the company's expansion into data center power, energy storage, and grid services demonstrates strategic decisions traced back to this purpose [1][3]. The cause has been partially validated by the company's 67-year history of powering through outages, though it hasn't yet faced the kind of existential crisis that would fully test its resilience.</w:t>
      </w:r>
    </w:p>
    <w:p>
      <w:pPr>
        <w:spacing w:before="200" w:after="40"/>
      </w:pPr>
      <w:r>
        <w:rPr>
          <w:rFonts w:ascii="Calibri" w:hAnsi="Calibri"/>
          <w:b/>
          <w:color w:val="1A2010"/>
          <w:sz w:val="22"/>
        </w:rPr>
        <w:t>Trusting Teams</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Trusting Teams (1/2): CEO Jagdfeld's 18-year tenure and 30+ year career at Generac provides exceptional leadership continuity, and the stable organizational structure suggests functional trust at the operating level [2]. However, the executive team's C- Comparably rating (bottom 30% of similarly-sized companies) and Glassdoor reviews citing 'senior leadership' as the primary negative suggest trust gaps between leadership and the broader workforce. The culture is adequate but not exceptional.</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Worthy Rivals (0/1): No evidence of an infinite competitive mindset. Generac's competitive positioning against Caterpillar and Cummins in C&amp;I power focuses on market share capture and growth rates rather than learning from rivals' strengths. The competitive language in earnings calls and press releases is about 'winning' data center contracts, not about self-improvement inspired by competitors.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Existential Flexibility (1/2): Generac has meaningfully diversified from residential generators into C&amp;I power, energy storage, grid services, and now data center power solutions — entering adjacent markets and adopting new technologies through both organic development and acquisitions [1]. However, the core generator business remains the foundation, and the diversification has been incremental rather than a transformative abandonment of a legacy business in service of a higher purpose.</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Courage to Lead (1/2): CEO Jagdfeld navigated the severe post-COVID residential generator downturn (2022-2023) without abandoning long-term investments in C&amp;I and energy storage, continuing to build capability during a period of declining residential revenue [1]. The aggressive push into data center power required significant investment ahead of proven demand. However, Generac's balance sheet strength (52% D/E) means these bets carry manageable risk, and the absence of insider buying suggests leadership conviction is not backed by personal financial commitment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Generac is emerging as a key AI infrastructure beneficiary. Q2 2026 revenue of $1,173.5M (up 10.6% YoY) with adjusted EPS of $2.91 crushing the $1.95 consensus reflects the data center power demand thesis materializing — the June 2026 hyperscaler supply agreement and C&amp;I segment guided to grow 30%+ are inflection signals [1][2]. Management raised EBITDA margin guidance to 20-21% and reaffirmed mid-to-high teens full-year revenue growth. The 75% residential standby market share provides a stable cash-generating foundation while the C&amp;I/data center pivot offers significant upside optionality. At a forward PEG of 1.46, the stock is reasonably valued relative to its growth trajectory.</w:t>
      </w:r>
    </w:p>
    <w:p>
      <w:pPr>
        <w:spacing w:after="120"/>
      </w:pPr>
      <w:r>
        <w:rPr>
          <w:rFonts w:ascii="Calibri" w:hAnsi="Calibri"/>
          <w:b w:val="0"/>
          <w:color w:val="3A4A28"/>
          <w:sz w:val="20"/>
        </w:rPr>
        <w:t>The primary concern is the gap between adjusted and GAAP profitability: trailing GAAP net margin of 3.79% and ROE of 6.28% indicate that Generac's growth is not yet translating into strong returns on capital [4]. The trailing P/E of ~47x embeds significant optimism about margin expansion and data center revenue that may not materialize as fast as the market expects. The $71M tariff refund benefit in Q2 flatters near-term earnings and is non-recurring. Residential generator demand remains weather-dependent and cyclical, creating earnings volatility that could trigger multiple compression in a mild storm season. The absence of insider buying and executive team's C- rating on Comparably raise governance questions about whether leadership's interests are fully aligned with shareholders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Data center power orders accelerating as AI infrastructure buildout drives hyperscaler demand for reliable backup and distributed power solutions, with the June 2026 supply agreement potentially expanding to additional hyperscaler customers</w:t>
      </w:r>
    </w:p>
    <w:p>
      <w:pPr>
        <w:spacing w:before="40" w:after="40"/>
        <w:ind w:left="283"/>
      </w:pPr>
      <w:r>
        <w:rPr>
          <w:rFonts w:ascii="Calibri" w:hAnsi="Calibri"/>
          <w:b/>
          <w:color w:val="4A6B25"/>
          <w:sz w:val="20"/>
        </w:rPr>
        <w:t xml:space="preserve">2. </w:t>
      </w:r>
      <w:r>
        <w:rPr>
          <w:rFonts w:ascii="Calibri" w:hAnsi="Calibri"/>
          <w:b w:val="0"/>
          <w:color w:val="3A4A28"/>
          <w:sz w:val="20"/>
        </w:rPr>
        <w:t>EBITDA margin expansion toward the 20-21% guidance range as C&amp;I mix shift and operational efficiencies convert revenue growth into improved profitability, potentially driving ROE toward double digits</w:t>
      </w:r>
    </w:p>
    <w:p>
      <w:pPr>
        <w:spacing w:before="40" w:after="40"/>
        <w:ind w:left="283"/>
      </w:pPr>
      <w:r>
        <w:rPr>
          <w:rFonts w:ascii="Calibri" w:hAnsi="Calibri"/>
          <w:b/>
          <w:color w:val="4A6B25"/>
          <w:sz w:val="20"/>
        </w:rPr>
        <w:t xml:space="preserve">3. </w:t>
      </w:r>
      <w:r>
        <w:rPr>
          <w:rFonts w:ascii="Calibri" w:hAnsi="Calibri"/>
          <w:b w:val="0"/>
          <w:color w:val="3A4A28"/>
          <w:sz w:val="20"/>
        </w:rPr>
        <w:t>Active hurricane or severe weather season driving residential standby generator demand spike, as each major U.S. power outage event historically triggers a surge in generator installation orders</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GAAP net margin of 3.79% and ROE of 6.28% indicate weak capital efficiency despite strong revenue growth — if margin expansion to the guided 20-21% EBITDA range stalls, the 47x trailing P/E could face significant compression</w:t>
      </w:r>
    </w:p>
    <w:p>
      <w:pPr>
        <w:spacing w:before="40" w:after="40"/>
        <w:ind w:left="283"/>
      </w:pPr>
      <w:r>
        <w:rPr>
          <w:rFonts w:ascii="Calibri" w:hAnsi="Calibri"/>
          <w:b/>
          <w:color w:val="4A6B25"/>
          <w:sz w:val="20"/>
        </w:rPr>
        <w:t xml:space="preserve">2. </w:t>
      </w:r>
      <w:r>
        <w:rPr>
          <w:rFonts w:ascii="Calibri" w:hAnsi="Calibri"/>
          <w:b w:val="0"/>
          <w:color w:val="3A4A28"/>
          <w:sz w:val="20"/>
        </w:rPr>
        <w:t>Data center power demand could disappoint if AI infrastructure spending slows, hyperscaler capital expenditure is deferred, or larger competitors (Caterpillar, Cummins) aggressively defend their C&amp;I market position</w:t>
      </w:r>
    </w:p>
    <w:p>
      <w:pPr>
        <w:spacing w:before="40" w:after="40"/>
        <w:ind w:left="283"/>
      </w:pPr>
      <w:r>
        <w:rPr>
          <w:rFonts w:ascii="Calibri" w:hAnsi="Calibri"/>
          <w:b/>
          <w:color w:val="4A6B25"/>
          <w:sz w:val="20"/>
        </w:rPr>
        <w:t xml:space="preserve">3. </w:t>
      </w:r>
      <w:r>
        <w:rPr>
          <w:rFonts w:ascii="Calibri" w:hAnsi="Calibri"/>
          <w:b w:val="0"/>
          <w:color w:val="3A4A28"/>
          <w:sz w:val="20"/>
        </w:rPr>
        <w:t>Residential generator demand is inherently weather-dependent and cyclical — a mild storm season or economic downturn could create a revenue air pocket in the residential segment that offsets C&amp;I growth momentum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9</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961"/>
            <w:shd w:fill="16A34A" w:val="clear"/>
          </w:tcPr>
          <w:p>
            <w:pPr>
              <w:spacing w:before="0" w:after="0"/>
            </w:pPr>
            <w:r>
              <w:rPr>
                <w:rFonts w:ascii="Calibri" w:hAnsi="Calibri"/>
                <w:b w:val="0"/>
                <w:color w:val="1A2010"/>
                <w:sz w:val="4"/>
              </w:rPr>
            </w:r>
          </w:p>
        </w:tc>
        <w:tc>
          <w:tcPr>
            <w:tcW w:type="dxa" w:w="551"/>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Generac's core business — designing, manufacturing, and distributing physical power generation equipment — is structurally immune to AI disruption. AI cannot build generators, install standby power systems, or manufacture power electronics [1]. More importantly, AI is a direct demand catalyst: data centers require massive amounts of reliable power, and Generac's C&amp;I power solutions are essential infrastructure for the AI buildout. The June 2026 hyperscaler supply agreement validates this thesis [2]. The residential standby generator business serves a non-discretionary need (power outage protection) driven by extreme weather frequency, which AI does not address. Some secondary risk exists in energy management software and grid services, where AI-native competitors could emerge. AI Opportunity (1/1): Generac generates quantifiable and rapidly growing revenue from AI infrastructure — the data center power segment is the fastest-growing portion of C&amp;I sales (guided to grow 30%+), and the hyperscaler supply agreement represents meaningful AI-linked revenue with specific contract visibility [1][2].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54</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Business Resilience </w:t>
      </w:r>
      <w:r>
        <w:rPr>
          <w:rFonts w:ascii="Calibri" w:hAnsi="Calibri"/>
          <w:b w:val="0"/>
          <w:color w:val="9DAF88"/>
          <w:sz w:val="17"/>
        </w:rPr>
        <w:t xml:space="preserve">  ·  </w:t>
      </w:r>
      <w:r>
        <w:rPr>
          <w:rFonts w:ascii="Calibri" w:hAnsi="Calibri"/>
          <w:b/>
          <w:color w:val="16A34A"/>
          <w:sz w:val="17"/>
        </w:rPr>
        <w:t xml:space="preserve"> Critical Risk Management </w:t>
      </w:r>
      <w:r>
        <w:rPr>
          <w:rFonts w:ascii="Calibri" w:hAnsi="Calibri"/>
          <w:b w:val="0"/>
          <w:color w:val="9DAF88"/>
          <w:sz w:val="17"/>
        </w:rPr>
        <w:t xml:space="preserve">  ·  </w:t>
      </w:r>
      <w:r>
        <w:rPr>
          <w:rFonts w:ascii="Calibri" w:hAnsi="Calibri"/>
          <w:b/>
          <w:color w:val="16A34A"/>
          <w:sz w:val="17"/>
        </w:rPr>
        <w:t xml:space="preserve"> Customer Privacy </w:t>
      </w:r>
      <w:r>
        <w:rPr>
          <w:rFonts w:ascii="Calibri" w:hAnsi="Calibri"/>
          <w:b w:val="0"/>
          <w:color w:val="9DAF88"/>
          <w:sz w:val="17"/>
        </w:rPr>
        <w:t xml:space="preserve">  ·  </w:t>
      </w:r>
      <w:r>
        <w:rPr>
          <w:rFonts w:ascii="Calibri" w:hAnsi="Calibri"/>
          <w:b/>
          <w:color w:val="16A34A"/>
          <w:sz w:val="17"/>
        </w:rPr>
        <w:t xml:space="preserve"> Data Security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Environmental Risk Mitigation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Fair Competition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Low Ecological Impact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Access and Affordability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Regulatory Adherence </w:t>
      </w:r>
      <w:r>
        <w:rPr>
          <w:rFonts w:ascii="Calibri" w:hAnsi="Calibri"/>
          <w:b w:val="0"/>
          <w:color w:val="9DAF88"/>
          <w:sz w:val="17"/>
        </w:rPr>
        <w:t xml:space="preserve">  ·  </w:t>
      </w:r>
      <w:r>
        <w:rPr>
          <w:rFonts w:ascii="Calibri" w:hAnsi="Calibri"/>
          <w:b/>
          <w:color w:val="16A34A"/>
          <w:sz w:val="17"/>
        </w:rPr>
        <w:t xml:space="preserve"> Waste and Hazmat Management </w:t>
      </w:r>
      <w:r>
        <w:rPr>
          <w:rFonts w:ascii="Calibri" w:hAnsi="Calibri"/>
          <w:b w:val="0"/>
          <w:color w:val="9DAF88"/>
          <w:sz w:val="17"/>
        </w:rPr>
        <w:t xml:space="preserve">  ·  </w:t>
      </w:r>
      <w:r>
        <w:rPr>
          <w:rFonts w:ascii="Calibri" w:hAnsi="Calibri"/>
          <w:b/>
          <w:color w:val="16A34A"/>
          <w:sz w:val="17"/>
        </w:rPr>
        <w:t xml:space="preserve"> Water Conservation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Generac Holdings Q2 2026 Earnings Release and Full-Year 2026 Guidance — GlobeNewsWire, July 29, 2026</w:t>
      </w:r>
    </w:p>
    <w:p>
      <w:pPr>
        <w:spacing w:before="20" w:after="20"/>
        <w:ind w:left="170"/>
      </w:pPr>
      <w:r>
        <w:rPr>
          <w:rFonts w:ascii="Calibri" w:hAnsi="Calibri"/>
          <w:b/>
          <w:color w:val="4A6B25"/>
          <w:sz w:val="15"/>
        </w:rPr>
        <w:t xml:space="preserve">2. </w:t>
      </w:r>
      <w:r>
        <w:rPr>
          <w:rFonts w:ascii="Calibri" w:hAnsi="Calibri"/>
          <w:b w:val="0"/>
          <w:color w:val="3A4A28"/>
          <w:sz w:val="17"/>
        </w:rPr>
        <w:t>Generac Hyperscaler Supply Agreement and AI Infrastructure Analysis — Yahoo Finance, Investing.com, July 2026</w:t>
      </w:r>
    </w:p>
    <w:p>
      <w:pPr>
        <w:spacing w:before="20" w:after="20"/>
        <w:ind w:left="170"/>
      </w:pPr>
      <w:r>
        <w:rPr>
          <w:rFonts w:ascii="Calibri" w:hAnsi="Calibri"/>
          <w:b/>
          <w:color w:val="4A6B25"/>
          <w:sz w:val="15"/>
        </w:rPr>
        <w:t xml:space="preserve">3. </w:t>
      </w:r>
      <w:r>
        <w:rPr>
          <w:rFonts w:ascii="Calibri" w:hAnsi="Calibri"/>
          <w:b w:val="0"/>
          <w:color w:val="3A4A28"/>
          <w:sz w:val="17"/>
        </w:rPr>
        <w:t>Generac ESG Reports and Corporate Governance — investors.generac.com, 2021-2023</w:t>
      </w:r>
    </w:p>
    <w:p>
      <w:pPr>
        <w:spacing w:before="20" w:after="20"/>
        <w:ind w:left="170"/>
      </w:pPr>
      <w:r>
        <w:rPr>
          <w:rFonts w:ascii="Calibri" w:hAnsi="Calibri"/>
          <w:b/>
          <w:color w:val="4A6B25"/>
          <w:sz w:val="15"/>
        </w:rPr>
        <w:t xml:space="preserve">4. </w:t>
      </w:r>
      <w:r>
        <w:rPr>
          <w:rFonts w:ascii="Calibri" w:hAnsi="Calibri"/>
          <w:b w:val="0"/>
          <w:color w:val="3A4A28"/>
          <w:sz w:val="17"/>
        </w:rPr>
        <w:t>StockAnalysis.com and MacroTrends — GNRC Statistics, Valuation Metrics, and Historical Data, accessed August 2026</w:t>
      </w:r>
    </w:p>
    <w:p>
      <w:pPr>
        <w:spacing w:before="20" w:after="20"/>
        <w:ind w:left="170"/>
      </w:pPr>
      <w:r>
        <w:rPr>
          <w:rFonts w:ascii="Calibri" w:hAnsi="Calibri"/>
          <w:b/>
          <w:color w:val="4A6B25"/>
          <w:sz w:val="15"/>
        </w:rPr>
        <w:t xml:space="preserve">5. </w:t>
      </w:r>
      <w:r>
        <w:rPr>
          <w:rFonts w:ascii="Calibri" w:hAnsi="Calibri"/>
          <w:b w:val="0"/>
          <w:color w:val="3A4A28"/>
          <w:sz w:val="17"/>
        </w:rPr>
        <w:t>Yahoo Finance — GNRC Key Statistics and Financial Data, accessed August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