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GRAB</w:t>
      </w:r>
      <w:r>
        <w:rPr>
          <w:rFonts w:ascii="Calibri" w:hAnsi="Calibri"/>
          <w:b/>
          <w:color w:val="1A2010"/>
          <w:sz w:val="40"/>
        </w:rPr>
        <w:t xml:space="preserve">  Grab Holdings Limited</w:t>
      </w:r>
    </w:p>
    <w:p>
      <w:pPr>
        <w:spacing w:after="120"/>
      </w:pPr>
      <w:r>
        <w:rPr>
          <w:rFonts w:ascii="Calibri" w:hAnsi="Calibri"/>
          <w:b/>
          <w:color w:val="6E8450"/>
          <w:sz w:val="18"/>
        </w:rPr>
        <w:t>GROWTH SLEEVE · 2026-08-12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Grab Holdings operates Southeast Asia's leading superapp platform spanning ride-hailing, food delivery, digital payments, lending, and insurance across eight countries (Singapore, Indonesia, Malaysia, Thailand, Philippines, Vietnam, Cambodia, Myanmar). Co-founded and led by CEO Anthony Tan, the company achieved its first full-year profitability in 2025 after years of market-building investment. Q2 2026 revenue reached a record $997M (+22% YoY) with adjusted EBITDA of $168M (+54% YoY) and margin expansion to 16.9%. Grab raised FY2026 guidance to $4.10-4.15B revenue (+22-23% YoY) and $720-740M adjusted EBITDA, and announced a $750M share repurchase program. The company is investing in autonomous vehicles through a strategic equity stake in WeRide. Market cap approximately $15.3B with 4.08B shares outstanding.</w:t>
      </w:r>
    </w:p>
    <w:p>
      <w:r>
        <w:rPr>
          <w:rFonts w:ascii="Calibri" w:hAnsi="Calibri"/>
          <w:b/>
          <w:color w:val="6E8450"/>
          <w:sz w:val="18"/>
        </w:rPr>
        <w:t>12,012 Employees · https://www.grab.com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Grab has executed a successful multi-year transformation from a ride-hailing app to Southeast Asia's dominant superapp — expanding into food delivery, digital payments (GrabPay), lending ($1.3B gross loan portfolio), and insurance [1][2]. Revenue grew from ~$675M in 2021 to $3.73B TTM, a ~5.5x increase in five years, while achieving profitability for the first time in 2025 after years of strategic market-building investment. The company forced Uber to exit Southeast Asia in 2018, validating its regional dominance. AI Deployment (2/2): Grab has deployed AI at scale with measurable results — 98% of engineers use AI-assisted coding, a company-wide nine-week generative AI sprint produced customer-facing features, and speech recognition accuracy improved from 46% to 90% using AI [4]. AI powers pricing optimization, demand prediction, fraud detection, and personalized recommendations across the superapp. CEO Tan mandated AI adoption company-wide. Market Share (2/2): Grab is the dominant superapp in Southeast Asia with leading market share in ride-hailing and delivery across multiple countries. Q1 2026 On-Demand GMV reached $6.1B (+24% YoY), demonstrating continued market leadership [2]. The platform serves hundreds of millions of users with an integrated ecosystem no competitor has replicated at scale. Product Pipeline (1/2): Strategic equity investment in WeRide for autonomous robobus deployment targeted for 2027, positioning Grab as a first-mover in Southeast Asian autonomous mobility [3]. GrabFin expansion into lending, insurance, and wealth management. However, specific next-gen product launch dates beyond the AV pilot are limited. R&amp;D Intensity (1/1): Grab employs 12,012 people with a significant engineering workforce. Technology investment is above industry average for Southeast Asian platforms, reflected in the AI-first company culture and platform innovation velocity.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Grab's mission is to 'drive Southeast Asia forward by creating economic empowerment for everyone' — a specific, thoughtful purpose that connects the company's work to a larger cause of economic inclusion in a developing region [4]. This mission has shaped strategic decisions: expanding financial services to the unbanked, prioritizing driver-partner earnings ($12.8B in 2024), and creating accessibility features (Women Passengers Preferred). The mission differentiates Grab from peers and has been partially validated by 12 years of consistent execution, but has not yet been tested through a major crisis or multi-decade consistency to earn a 4. Community Impact (2/2): Significant, measurable community investment — driver- and merchant-partners earned $12.8B on the platform in 2024 (+16% YoY), with over 99% of driver-partners meeting or exceeding local hourly minimum wage [4]. Grab more than doubled active persons with disabilities on the platform to 5,140, achieving this milestone a year ahead of schedule. MSCI ESG rating of AA (Leader). These are distinctive, mission-aligned impacts with specific metrics. Employee Retention (0/2): Mixed Glassdoor reviews undermine retention confidence. Positive reviews cite innovation, diversity, and cutting-edge projects, but significant negative feedback describes culture deterioration since 2022, toxic senior leadership, excessive office politics, and nepotism in promotions [3]. No specific retention, turnover, or tenure data available. The cultural concerns are material enough to score 0. Insider Buying (0/2): No evidence of meaningful net insider buying by executives. The $750M corporate share buyback program demonstrates institutional confidence but is not personal insider conviction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30.4% ($2.05B debt against $6.76B equity) is well below the 70% target, reflecting conservative leverage for a company at Grab's growth stage [3]. Revenue growth YoY of 21.5% exceeds the 10% target, driven by continued On-Demand and Financial Services expansion [1]. Forward P/E of 21.46 is slightly above the 20x target but scores 0.964, reflecting a reasonable valuation for a 22% growth company. Profit margin of 16.0% ($598M net income on $3.73B revenue) is approaching the 20% target, a dramatic improvement from years of losses — scoring 0.80 [1][3]. ROE of 8.85% is below the 15% target, reflecting the early stage of the profitability inflection, but scores 0.59 with 2x weight for growth stocks. Revenue Growth 5yr CAGR and Forward PEG are unavailable but would likely score strongly given the ~45% 5yr revenue CAGR and implied PEG well below 1.0. Liquidity is massive at $154M daily trading value (41.2M shares x $3.74)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Grab demonstrates meaningful infinite game characteristics through its genuine mission of economic empowerment across Southeast Asia, willingness to invest in long-term platforms like financial services (unprofitable for years before breaking even in H2 2026), and proactive pursuit of autonomous vehicles that could disrupt its own driver model. However, internal cultural concerns (Glassdoor reports of toxic senior leadership, culture deterioration post-2022) and the company's relatively short history (founded 2012, profitable only since 2025) prevent a full infinite game assessment. The mission is genuine but has not yet been tested through a major crisis or multi-decade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'Drive Southeast Asia forward by creating economic empowerment for everyone' is a genuine cause that has shaped strategic decisions over 12 years — enabling $12.8B in partner earnings, expanding financial services to the unbanked, and creating accessibility programs for persons with disabilities [4]. Leadership references the mission in strategic decisions (choosing to invest in financial services at a loss, prioritizing driver-partner earnings over take rates). However, the cause has not yet been validated through decades of execution or survived a major crisis — Grab achieved profitability only in 2025. The cause is genuine and partially lived, but still developing.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Grab's 12,012 employees operate across eight countries with investment in organizational culture — a dedicated Chief People Officer was appointed in 2024, and the AI sprint culture suggests cross-functional collaboration [4]. However, Glassdoor reviews present concerning signals: multiple employees describe culture deterioration since 2022, citing toxic senior leadership, excessive office politics, and nepotism in promotions [3]. While some reviews praise innovation, diversity, and cutting-edge projects, the cultural complaints are too consistent to dismiss. Adequate organizational trust without major structural problems, but not the high-trust environment Sinek envisions.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Grab's competitive approach demonstrates learning from rivals rather than a war mindset. The company successfully competed against Uber in Southeast Asia by understanding its own regional strengths rather than trying to outspend a global giant, ultimately forcing Uber's exit in 2018 [1]. Grab now competes constructively with GoTo, Sea Limited, and traditional banks, using competitive pressure to sharpen its superapp and fintech offerings. The WeRide autonomous vehicle investment shows willingness to learn from technology leaders and preemptively address competitive threats rather than ignore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Grab has evolved meaningfully from a ride-hailing startup to a full superapp encompassing delivery, digital payments, lending, insurance, and now autonomous vehicles [1][2]. Each expansion required entering new markets and building new capabilities. The WeRide investment demonstrates willingness to pursue technology that could disrupt Grab's own driver-partner model — a notable act of flexibility. However, the expansions were incremental market extensions rather than the kind of transformative pivot Sinek describes (Apple's Mac-to-iPhone). The core platform remained consistent; new verticals were added around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Grab invested heavily in Southeast Asian market expansion while unprofitable for nearly a decade, betting that regional scale would eventually produce profitability — which it did in 2025 [1]. The financial services segment was invested in at a loss for years before reaching EBITDA breakeven in H2 2026. The $750M share buyback signals confidence at $3.74/share, 44% below the 52-week high. The WeRide autonomous vehicle investment risks disrupting Grab's own driver base. These demonstrate some long-term courage, but are primarily rational business decisions rather than the kind of counter-cultural, costly principled stands Sinek values most.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Grab is Southeast Asia's dominant superapp at a profitability inflection point — Q2 2026 revenue of $997M (+22% YoY) with adjusted EBITDA of $168M (+54% YoY) and margin expansion to 16.9% demonstrate that the decade-long investment in regional scale is generating returns [1]. The company raised FY2026 guidance to $4.10-4.15B revenue (+22-23% YoY) and $720-740M adjusted EBITDA (+44-48%), while launching a $750M share buyback at $3.74/share — 44% below the $6.62 52-week high [1]. Net income of $598M represents a 439% improvement, and forward P/E of 21.46x is reasonable for a company growing revenue 22% with expanding margins. The financial services segment (lending, insurance, payments) is scaling with a $1.3B gross loan portfolio, and the WeRide autonomous vehicle partnership positions Grab as a first-mover in Southeast Asian autonomous mobility. D/E of 30.4% provides balance sheet flexibility for continued growth investment.</w:t>
      </w:r>
    </w:p>
    <w:p>
      <w:pPr>
        <w:spacing w:after="120"/>
      </w:pPr>
      <w:r>
        <w:rPr>
          <w:rFonts w:ascii="Calibri" w:hAnsi="Calibri"/>
          <w:b w:val="0"/>
          <w:color w:val="3A4A28"/>
          <w:sz w:val="20"/>
        </w:rPr>
        <w:t>The bear case centers on valuation premium, cultural concerns, and emerging market execution risk. At 33.95x trailing earnings, the stock requires sustained 20%+ revenue growth and continued margin expansion to justify the multiple — any deceleration would trigger de-rating, and the stock has already declined 44% from its 52-week high of $6.62 [3]. ROE of 8.85% reflects that profitability is still early-stage, and net income quality may be inflated by one-time items. Glassdoor reviews describing culture deterioration since 2022, toxic senior leadership, and office politics suggest internal challenges that could impair execution and talent retention over time [3]. Operating across eight diverse Southeast Asian economies exposes Grab to currency volatility, regulatory fragmentation, and geopolitical risk — Indonesia and Philippines are tightening ride-hailing and fintech regulations. The $1.3B lending portfolio carries credit risk concentrated in gig workers and SMEs with variable income, vulnerable to economic downturns. Competition from GoTo, Sea Limited, ShopeeFood, and traditional banks could pressure take rates and market share in specific countries.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services segment EBITDA breakeven in H2 2026, potentially unlocking a fintech re-rating of the embedded value — the $1.3B loan portfolio and GrabPay ecosystem are valued at approximately zero in the current stock price [1][2]</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of $4.10-4.15B with 44-48% adjusted EBITDA growth could drive earnings estimate upgrades through the second half, particularly if Q3 2026 results demonstrate accelerating margin expansion beyond the 16.9% Q2 level [1]</w:t>
      </w:r>
    </w:p>
    <w:p>
      <w:pPr>
        <w:spacing w:before="40" w:after="40"/>
        <w:ind w:left="283"/>
      </w:pPr>
      <w:r>
        <w:rPr>
          <w:rFonts w:ascii="Calibri" w:hAnsi="Calibri"/>
          <w:b/>
          <w:color w:val="4A6B25"/>
          <w:sz w:val="20"/>
        </w:rPr>
        <w:t xml:space="preserve">3. </w:t>
      </w:r>
      <w:r>
        <w:rPr>
          <w:rFonts w:ascii="Calibri" w:hAnsi="Calibri"/>
          <w:b w:val="0"/>
          <w:color w:val="3A4A28"/>
          <w:sz w:val="20"/>
        </w:rPr>
        <w:t>WeRide autonomous robobus pilot launch targeted for 2027 would position Grab as the first-mover in Southeast Asian autonomous mobility, creating a new growth vector and demonstrating technological differentiation against GoTo and Sea Limited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losses in the $1.3B lending portfolio could accelerate in an economic downturn — borrowers are predominantly gig workers and SMEs with variable income across emerging markets, and Grab's credit underwriting track record is only 2-3 years old [2]</w:t>
      </w:r>
    </w:p>
    <w:p>
      <w:pPr>
        <w:spacing w:before="40" w:after="40"/>
        <w:ind w:left="283"/>
      </w:pPr>
      <w:r>
        <w:rPr>
          <w:rFonts w:ascii="Calibri" w:hAnsi="Calibri"/>
          <w:b/>
          <w:color w:val="4A6B25"/>
          <w:sz w:val="20"/>
        </w:rPr>
        <w:t xml:space="preserve">2. </w:t>
      </w:r>
      <w:r>
        <w:rPr>
          <w:rFonts w:ascii="Calibri" w:hAnsi="Calibri"/>
          <w:b w:val="0"/>
          <w:color w:val="3A4A28"/>
          <w:sz w:val="20"/>
        </w:rPr>
        <w:t>Currency headwinds across eight Southeast Asian markets could erode reported growth — constant-currency growth is already 1-2 percentage points below nominal, and USD strength could widen this gap [1]</w:t>
      </w:r>
    </w:p>
    <w:p>
      <w:pPr>
        <w:spacing w:before="40" w:after="40"/>
        <w:ind w:left="283"/>
      </w:pPr>
      <w:r>
        <w:rPr>
          <w:rFonts w:ascii="Calibri" w:hAnsi="Calibri"/>
          <w:b/>
          <w:color w:val="4A6B25"/>
          <w:sz w:val="20"/>
        </w:rPr>
        <w:t xml:space="preserve">3. </w:t>
      </w:r>
      <w:r>
        <w:rPr>
          <w:rFonts w:ascii="Calibri" w:hAnsi="Calibri"/>
          <w:b w:val="0"/>
          <w:color w:val="3A4A28"/>
          <w:sz w:val="20"/>
        </w:rPr>
        <w:t>Internal cultural deterioration flagged by Glassdoor reviews (toxic senior leadership, office politics, nepotism since 2022) could impair talent retention and product innovation velocity, particularly in a competitive AI talent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Grab's core business involves physical-world logistics operations (ride-hailing, food delivery) that AI structurally cannot replace — you cannot deliver food or transport passengers without physical vehicles and drivers. The platform's proprietary data (billions of trip records, consumer behavior, traffic patterns across eight countries) creates a competitive moat that pure AI competitors cannot replicate without the physical network [1]. AI is overwhelmingly an enabler for Grab: powering pricing optimization, demand prediction, route efficiency, fraud detection, and personalized recommendations. However, autonomous vehicles represent a long-term disruption vector for the driver-partner model that generates $12.8B in annual partner earnings — though Grab is proactively positioning through its WeRide equity investment for AV deployment in 2027 [3]. The platform distribution advantage (hundreds of millions of users, network effects across ride-hail, delivery, and financial services) creates structural switching costs that protect against AI-native competitors. AI Opportunity (1/1): Grab generates quantifiable AI-driven value — 98% of engineers use AI-assisted coding, speech recognition accuracy improved from 46% to 90%, and AI powers core platform features (pricing, matching, fraud detection) that drive the $6.1B quarterly GMV [4]. The company's AI sprint produced customer-facing features with measurable business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Grab Q2 2026 Earnings Release — Revenue $997M (+22% YoY), Adj EBITDA $168M (+54%), Raised FY2026 Guidance to $4.10-4.15B Revenue, $720-740M Adj EBITDA, $750M Share Buyback Program, August 2026</w:t>
      </w:r>
    </w:p>
    <w:p>
      <w:pPr>
        <w:spacing w:before="20" w:after="20"/>
        <w:ind w:left="170"/>
      </w:pPr>
      <w:r>
        <w:rPr>
          <w:rFonts w:ascii="Calibri" w:hAnsi="Calibri"/>
          <w:b/>
          <w:color w:val="4A6B25"/>
          <w:sz w:val="15"/>
        </w:rPr>
        <w:t xml:space="preserve">2. </w:t>
      </w:r>
      <w:r>
        <w:rPr>
          <w:rFonts w:ascii="Calibri" w:hAnsi="Calibri"/>
          <w:b w:val="0"/>
          <w:color w:val="3A4A28"/>
          <w:sz w:val="17"/>
        </w:rPr>
        <w:t>Grab Q1 2026 Earnings Release — Revenue $955M (+24% YoY), Profit $120M, On-Demand GMV $6.1B, Loan Portfolio $1.3B,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GRAB Key Statistics: Stock Price $3.74, Market Cap $15.26B, PE 33.95, Forward PE 21.46, D/E 30.4%, ROE 8.85%, Profit Margin 16%, Revenue TTM $3.73B, Avg Volume 41.2M, Glassdoor Reviews, WeRide AV Investment,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Grab ESG Report 2025 — MSCI AA ESG Rating, Partner Earnings $12.8B (+16% YoY), 5,140 Active PWDs, AI Sprint (98% Engineer AI Adoption), Carbon Neutrality Target 2040, published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