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GSUN</w:t>
      </w:r>
      <w:r>
        <w:rPr>
          <w:rFonts w:ascii="Calibri" w:hAnsi="Calibri"/>
          <w:b/>
          <w:color w:val="1A2010"/>
          <w:sz w:val="40"/>
        </w:rPr>
        <w:t xml:space="preserve">  Golden Sun Technology Group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Education &amp; Training Services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Golden Sun Technology Group Limited (formerly Golden Sun Health Technology Group) is a Cayman Islands holding company based in Shanghai that has pivoted from foreign-language tutoring services toward data-driven e-commerce promotion and advertising support on Chinese short-video platforms, which now generates over 90% of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GSUN's business model is a reactive pivot away from for-profit tutoring (forced by China's 2021 education-sector crackdown) into commoditized short-video e-commerce advertising support, a low-differentiation service business with no proprietary technology or IP disclosed[1]. There is no evidence of R&amp;D intensity, AI deployment, or defensible market position; the 483% FY2025 revenue surge reflects a business-line switch rather than durable competitive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community-impact, retention, or culture evidence was found, and available signals point the other way: a Chief Operating Officer resignation in September 2025 and an insider Form 144 filing to sell shares raise governance and stability concerns[2][3]. CEO Xueyuan Weng holds a large 22% stake, but this alone does not offset the lack of any articulated mission beyond revenue diversification for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GSUN has been cited twice by Nasdaq for minimum bid-price deficiency (most recently with an October 12, 2026 compliance deadline) and previously executed a 1-for-10 reverse split in April 2024 to avoid delisting, alongside a 2025 minimum stockholders'-equity compliance scramble — all hallmarks of chronic financial fragility[3]. Return on equity is deeply negative (-247%) and profit margin is negative (-9.8%) despite the reported YoY revenue growth, and the $3M market cap against $35M in revenue signals the market is pricing in severe going-concern or dilution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GSUN's trajectory — a regulator-forced business pivot, repeated Nasdaq compliance near-misses, a reverse stock split, and a recent COO departure — reflects a company focused on quarter-to-quarter survival and listing maintenance rather than a long-term existential strategy[1][2][3].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cause beyond revenue diversification for survival after the 2021 China tutoring-sector ban forced an abrupt shift into e-commerce marketing services[1].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September 2025 COO resignation and subsequent replacement, combined with limited public disclosure of workplace culture, suggest instability at the leadership layer[2].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in a crowded, low-barrier Chinese short-video advertising-support market against numerous similarly undifferentiated agencies, with no distinct positioning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did successfully pivot its revenue base from banned tutoring services into e-commerce promotion, demonstrating some adaptive capacity, though the shift was reactive rather than strategic foresight[1].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Management's public disclosures center on Nasdaq bid-price and stockholders'-equity compliance rather than any forward-looking vision, and insider share sales via Form 144 during this period cut against confidence signaling[3].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GSUN reported a headline 483% FY2025 revenue surge to $35.5M after pivoting from China's now-restricted for-profit tutoring sector into short-video e-commerce advertising support, and 1H FY2026 revenue grew a further 30% with narrowing losses[1]. However, the $3M market capitalization against that revenue base, combined with a 66% debt-to-equity ratio and -247% ROE, signals the market has almost no confidence in the durability or profitability of this pivot.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GSUN has twice faced Nasdaq minimum bid-price deficiency notices, executed a 1-for-10 reverse split in 2024 to avoid delisting, and only regained stockholders'-equity compliance in August 2025 — a pattern of chronic capital-structure fragility that outweighs the topline growth story[3]. This is a SELL: extreme dilution/delisting risk, negative profitability, weak governance signals (COO turnover, insider selling), and no defensible competitive moat make this unsuitable for a quality-screened portfolio despite the growth headline.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e-commerce/advertising revenue growth if the pivot away from tutoring proves durable[1]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Regaining and holding sustained Nasdaq bid-price compliance past the October 12, 2026 deadline[3]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— bid-price deficiency notice with an October 12, 2026 compliance deadline and a history of reverse splits[3]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Deeply negative ROE (-247%) and profit margin (-9.8%) despite revenue growth[1]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Dependence on Chinese short-video platform algorithms/policies outside the company's control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Governance instability signaled by recent COO turnover and insider Form 144 share sales[2][3]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GSUN's core e-commerce/livestream advertising business is increasingly exposed to AI-driven ad-targeting and content-generation tools controlled by the larger Chinese platforms it depends on (e.g., Douyin/Kuaishou ecosystems), which could commoditize its role as an intermediary[1]. No AI strategy, product, or defensive moat was disclosed in available materials, leaving the company a price-taker on platform algorithm changes rather than an AI beneficiary.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StockTitan / Simply Wall St, Golden Sun Technology Group FY2025 and 1H FY2026 revenue and earnings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TipRanks / Simply Wall St, Golden Sun leadership (CEO Xueyuan Weng, COO transition)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Nasdaq Listing Center / GlobeNewswire / StockTitan, Golden Sun Nasdaq bid-price and stockholders'-equity compliance notices,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