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HNGE</w:t>
      </w:r>
      <w:r>
        <w:rPr>
          <w:rFonts w:ascii="Calibri" w:hAnsi="Calibri"/>
          <w:b/>
          <w:color w:val="1A2010"/>
          <w:sz w:val="40"/>
        </w:rPr>
        <w:t xml:space="preserve">  Hinge Health, Inc.</w:t>
      </w:r>
    </w:p>
    <w:p>
      <w:pPr>
        <w:spacing w:after="120"/>
      </w:pPr>
      <w:r>
        <w:rPr>
          <w:rFonts w:ascii="Calibri" w:hAnsi="Calibri"/>
          <w:b/>
          <w:color w:val="6E8450"/>
          <w:sz w:val="18"/>
        </w:rPr>
        <w:t>GROWTH SLEEVE · 2026-08-05 · Inspire: 31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Health Information Services · NYSE · United States</w:t>
      </w:r>
    </w:p>
    <w:p>
      <w:pPr>
        <w:spacing w:after="80"/>
      </w:pPr>
      <w:r>
        <w:rPr>
          <w:rFonts w:ascii="Calibri" w:hAnsi="Calibri"/>
          <w:b w:val="0"/>
          <w:color w:val="3A4A28"/>
          <w:sz w:val="20"/>
        </w:rPr>
        <w:t>Hinge Health is a digital health company building a technology-driven health system to scale and automate the delivery of musculoskeletal (MSK) care. Its platform addresses acute injury, chronic pain, and post-surgical rehabilitation through AI-powered motion tracking technology and a proprietary electrical nerve stimulation wearable device (Enso), primarily serving self-insured employers. The company is expanding into migraine and gastrointestinal care via the planned Cylinder Health acquisition, with FY2026 revenue guided at $856-860M.</w:t>
      </w:r>
    </w:p>
    <w:p>
      <w:r>
        <w:rPr>
          <w:rFonts w:ascii="Calibri" w:hAnsi="Calibri"/>
          <w:b/>
          <w:color w:val="6E8450"/>
          <w:sz w:val="18"/>
        </w:rPr>
        <w:t>1,400 Employees · https://www.hingehealth.com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Hinge Health achieved 51% revenue growth to $588M in FY2025, successfully IPO'd on the NYSE, and expanded from pure MSK care into adjacent conditions (migraine, gastrointestinal care via planned Cylinder Health acquisition) [1]. Q2 2026 revenue surged 53% YoY to $212.8M with operating margin expanding to 29%, validating the digital care delivery model at scale. AI Deployment (2/2): AI is core to the product — computer vision motion tracking analyzes patient movement in real-time and delivers personalized exercise therapy. Management cited aggressive AI investment as a key driver behind the raised FY2026 guidance to $856-860M, and AI-driven care delivery is the primary competitive advantage [1][2]. Market Share (2/2): Hinge Health is the clear category leader in digital MSK care, serving 2,000+ enterprise clients with LTM calculated billings of $862M (+52% YoY) [1]. No other digital MSK platform approaches this scale, and the company's $5.8B market cap validates market confidence in its dominance. Product Pipeline (0/2): Beyond the Cylinder Health GI acquisition and migraine care expansion planned for 2027, no specific next-gen products with named launches were announced [1]. R&amp;D Intensity (1/1): Significant AI and technology investment with dedicated engineering resources for motion tracking, personalization algorithms, and platform development.</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Hinge Health's mission to build 'a health system that scales and automates the delivery of care' addresses a genuine, large-scale human problem — MSK conditions affect 1.7 billion people globally and are the leading cause of disability [3]. The vision of making world-class rehabilitation accessible to anyone through technology is specific, thoughtful, and differentiates from peers. Co-founders have pursued this vision for 14 years. Community Impact (0/2): No evidence of significant corporate philanthropy, foundation, or community investment programs found in public filings or search results. Employee Retention (0/2): Despite the overall Glassdoor rating of 3.8/5, recent reviews reveal deep cultural concerns — employees report the CEO 'has no respect for employees' and treats them as 'fuel to burn up,' with AI implementation perceived as training tools to replace workers [3]. Recent layoffs of a large portion of R&amp;D, described as a 'revolving door' of management, and high turnover cited by multiple reviewers indicate organizational instability. Insider Buying (1/2): Co-founders Daniel Perez (CEO) and Gabriel Mecklenburg (Executive Chairman) maintained significant equity stakes through the IPO, demonstrating long-term conviction by not selling when they had the opportunity. Minimal insider transaction activity suggests neutral positioning.</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Hinge Health scores maximally on D/E (~2.1%, virtually debt-free) and revenue growth YoY (53%, far above the 10% target) [1][2]. Forward P/E of 26.70 scores 0.83 — elevated from 19.2x at last screening due to the stock's rise from $44.60 to $79.42 [2]. However, GAAP financials remain deeply negative: trailing EPS of -$12.31, profit margin of -79%, and ROE deeply negative, all driven by stock-based compensation from the IPO [2]. The disconnect between GAAP losses and non-GAAP profitability is striking — Q2 2026 showed 29% non-GAAP operating margin and $100M LTM free cash flow [1]. Revenue growth 5yr CAGR and Forward PEG unavailable (company was private pre-2025), excluded from calculation. Liquidity is ample at ~$95M daily dollar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Hinge Health demonstrates genuine infinite-game characteristics through its 14-year co-founder-led mission to democratize MSK care and its expansion into adjacent health conditions (migraine, GI). However, deeply concerning Glassdoor reviews describing a CEO who 'has no respect for employees,' AI being used to replace rather than empower workers, recent R&amp;D layoffs, and a 'revolving door' of management reveal significant cultural cracks beneath the impressive growth metrics. The pressures of being a newly public, high-growth company appear to be creating finite-game tensions that undermine the mission-driven culture.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Hinge Health's vision of building a technology-driven health system that makes MSK care accessible to everyone addresses a genuine, large-scale human problem — MSK conditions are the leading cause of disability globally [3]. Co-founders Perez and Mecklenburg have pursued this vision for 14 years through pre-revenue years, multiple funding rounds, and IPO. The expansion into migraine and GI care via Cylinder Health demonstrates the cause extending beyond the initial product. However, the cause has not yet been tested through a major crisis or leadership transition, and employee concerns about AI replacing workers suggest the cause may not be shaping all decisions.</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Despite the 3.8/5 Glassdoor overall rating, recent reviews paint a deeply concerning picture. Multiple employees report the CEO 'has no respect for employees' and treats them as 'fuel to burn up' [3]. Leadership is described as 'ego-driven rather than collaborative' with 'no transparency in motives.' AI implementation is perceived as training tools to replace workers rather than empower them. Recent layoffs of a 'large portion of R&amp;D,' a 'revolving door' of management, and high turnover cited by multiple reviewers indicate a low-trust environment where employees focus on self-preservation.</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Hinge Health's competitive posture reflects awareness that 'understanding people will continue to be the differentiator' in a world of accelerating AI [3]. The company competes against traditional physical therapy, digital MSK platforms (Sword Health, Omada), and emerging AI health tools, positioning itself through clinical outcomes data rather than competitor-focused messaging. The expansion into GI and migraine via Cylinder reflects a learning-oriented strategy of improving capability rather than attacking rivals.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Hinge Health has evolved from a simple exercise therapy app into a comprehensive digital care platform incorporating AI motion tracking, wearable nerve stimulation devices, and clinical coaching [1]. The expansion beyond MSK into migraine and GI care via the planned Cylinder Health acquisition represents meaningful business model evolution — serving broader employer health needs rather than remaining a single-condition solution. These are incremental capability expansions rather than a transformative pivot that abandoned a core business.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Perez guided the company through 14 years of development before IPO, maintaining focus on MSK care through shifting digital health narratives. The aggressive FY2026 guidance raise to $856-860M (from $732-742M at February) while investing in new verticals (migraine, GI) demonstrates willingness to pursue long-term growth over near-term GAAP profitability [1]. The Cylinder Health acquisition to enter GI care expands the addressable market meaningfully. However, employee reports of AI being used to replace rather than empower workers, and R&amp;D layoffs, suggest short-term cost optimization may be competing with long-term capability investment.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Hinge Health is executing at an exceptional level: Q2 2026 delivered $212.8M revenue (+53% YoY), operating margin of 29% (up from 19%), and EPS of $0.59 (beating estimates by 354%) [1]. FY2026 guidance was raised to $856-860M from $732-742M, with LTM calculated billings of $862M (+52% YoY) and free cash flow of $100M (up from $33M) [1]. The company is the dominant leader in digital MSK care with 2,000+ enterprise clients, and the expansion into migraine and GI care via Cylinder Health acquisition significantly expands the total addressable market. At forward P/E of 26.7x on forward EPS of ~$2.97, the valuation is reasonable for a healthcare platform growing 50%+ with rapidly expanding margins and strong analyst support (16 Buy ratings, $90.87 target) [2].</w:t>
      </w:r>
    </w:p>
    <w:p>
      <w:pPr>
        <w:spacing w:after="120"/>
      </w:pPr>
      <w:r>
        <w:rPr>
          <w:rFonts w:ascii="Calibri" w:hAnsi="Calibri"/>
          <w:b w:val="0"/>
          <w:color w:val="3A4A28"/>
          <w:sz w:val="20"/>
        </w:rPr>
        <w:t>The bear case centers on three concerns: GAAP profitability, culture, and competition. Trailing EPS of -$12.31 and profit margin of -79% reflect massive stock-based compensation costs post-IPO — while non-GAAP margins are expanding to 29%, the GAAP/non-GAAP gap creates risk as lockup periods expire and insiders may sell [2]. The cultural red flags are significant: Glassdoor reviews describe a CEO who 'has no respect for employees,' AI being deployed to replace support teams, recent R&amp;D layoffs, and a 'revolving door' of management [3]. These cultural issues could impair the company's ability to retain talent, innovate, and execute on its ambitious growth targets. Competitively, Big Tech health platforms (Apple, Google) and AI-native MSK startups (Sword Health) could commoditize motion tracking technology, compressing pricing power. The $5.8B market cap prices in significant execution and leaves limited room for disappointment.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Cylinder Health acquisition closing in 2026 and GI care rollout in 2027 would validate the platform expansion strategy beyond MSK and significantly increase total addressable market [1]</w:t>
      </w:r>
    </w:p>
    <w:p>
      <w:pPr>
        <w:spacing w:before="40" w:after="40"/>
        <w:ind w:left="283"/>
      </w:pPr>
      <w:r>
        <w:rPr>
          <w:rFonts w:ascii="Calibri" w:hAnsi="Calibri"/>
          <w:b/>
          <w:color w:val="4A6B25"/>
          <w:sz w:val="20"/>
        </w:rPr>
        <w:t xml:space="preserve">2. </w:t>
      </w:r>
      <w:r>
        <w:rPr>
          <w:rFonts w:ascii="Calibri" w:hAnsi="Calibri"/>
          <w:b w:val="0"/>
          <w:color w:val="3A4A28"/>
          <w:sz w:val="20"/>
        </w:rPr>
        <w:t>Continued operating margin expansion from 29% (Q2) toward mid-30s% would demonstrate improving unit economics and accelerate the path to GAAP profitability as SBC normalizes</w:t>
      </w:r>
    </w:p>
    <w:p>
      <w:pPr>
        <w:spacing w:before="40" w:after="40"/>
        <w:ind w:left="283"/>
      </w:pPr>
      <w:r>
        <w:rPr>
          <w:rFonts w:ascii="Calibri" w:hAnsi="Calibri"/>
          <w:b/>
          <w:color w:val="4A6B25"/>
          <w:sz w:val="20"/>
        </w:rPr>
        <w:t xml:space="preserve">3. </w:t>
      </w:r>
      <w:r>
        <w:rPr>
          <w:rFonts w:ascii="Calibri" w:hAnsi="Calibri"/>
          <w:b w:val="0"/>
          <w:color w:val="3A4A28"/>
          <w:sz w:val="20"/>
        </w:rPr>
        <w:t>Growth in LTM calculated billings (currently $862M, +52% YoY) converting to booked revenue provides strong forward visibility as enterprise clients expand engagement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GAAP profitability remains deeply negative (-$12.31 TTM EPS, -79% margin) due to stock-based compensation, and insider selling as lockup periods expire could pressure the stock regardless of non-GAAP strength [2]</w:t>
      </w:r>
    </w:p>
    <w:p>
      <w:pPr>
        <w:spacing w:before="40" w:after="40"/>
        <w:ind w:left="283"/>
      </w:pPr>
      <w:r>
        <w:rPr>
          <w:rFonts w:ascii="Calibri" w:hAnsi="Calibri"/>
          <w:b/>
          <w:color w:val="4A6B25"/>
          <w:sz w:val="20"/>
        </w:rPr>
        <w:t xml:space="preserve">2. </w:t>
      </w:r>
      <w:r>
        <w:rPr>
          <w:rFonts w:ascii="Calibri" w:hAnsi="Calibri"/>
          <w:b w:val="0"/>
          <w:color w:val="3A4A28"/>
          <w:sz w:val="20"/>
        </w:rPr>
        <w:t>Severe cultural concerns: Glassdoor reviews describe fear-based management, AI replacing workers, R&amp;D layoffs, and high turnover — if talent attrition accelerates, it could impair the company's ability to execute on 50%+ growth targets [3]</w:t>
      </w:r>
    </w:p>
    <w:p>
      <w:pPr>
        <w:spacing w:before="40" w:after="40"/>
        <w:ind w:left="283"/>
      </w:pPr>
      <w:r>
        <w:rPr>
          <w:rFonts w:ascii="Calibri" w:hAnsi="Calibri"/>
          <w:b/>
          <w:color w:val="4A6B25"/>
          <w:sz w:val="20"/>
        </w:rPr>
        <w:t xml:space="preserve">3. </w:t>
      </w:r>
      <w:r>
        <w:rPr>
          <w:rFonts w:ascii="Calibri" w:hAnsi="Calibri"/>
          <w:b w:val="0"/>
          <w:color w:val="3A4A28"/>
          <w:sz w:val="20"/>
        </w:rPr>
        <w:t>Competitive disruption from Big Tech health platforms and AI-native startups could commoditize motion tracking technology, compressing pricing power in the enterprise digital health market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Hinge Health's core business combines technology with clinical care — its platform requires physical patient engagement (exercise therapy, Enso wearable nerve stimulation) and clinical oversight from physical therapists and physicians, creating structural barriers to pure AI substitution [1][3]. The regulatory requirements around clinical care, personalized wearable hardware, and employer-contracted healthcare delivery provide meaningful moats. However, the digital health space faces competitive disruption risk from Big Tech health platforms (Apple Health, Google Health) that could build competing AI motion tracking, and AI-native rehabilitation startups (Sword Health) that could commoditize the core technology. AI Opportunity (1/1): AI is integral to Hinge Health's revenue — computer vision motion tracking, personalized exercise programs, and AI-driven clinical insights are the core product. Management's raised FY2026 guidance to $856-860M was explicitly tied to AI investments driving stronger client yield and engagement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31</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Hinge Health Q2 2026 Earnings Release and Investor Day — Revenue $212.8M (+53% YoY), Raised FY2026 Guidance to $856-860M, Operating Margin 29%, July-August 2026</w:t>
      </w:r>
    </w:p>
    <w:p>
      <w:pPr>
        <w:spacing w:before="20" w:after="20"/>
        <w:ind w:left="170"/>
      </w:pPr>
      <w:r>
        <w:rPr>
          <w:rFonts w:ascii="Calibri" w:hAnsi="Calibri"/>
          <w:b/>
          <w:color w:val="4A6B25"/>
          <w:sz w:val="15"/>
        </w:rPr>
        <w:t xml:space="preserve">2. </w:t>
      </w:r>
      <w:r>
        <w:rPr>
          <w:rFonts w:ascii="Calibri" w:hAnsi="Calibri"/>
          <w:b w:val="0"/>
          <w:color w:val="3A4A28"/>
          <w:sz w:val="17"/>
        </w:rPr>
        <w:t>Yahoo Finance, StockAnalysis, and Finviz — HNGE Stock Price $79.42, Forward P/E 26.70, Market Cap $5.8B, accessed August 2026</w:t>
      </w:r>
    </w:p>
    <w:p>
      <w:pPr>
        <w:spacing w:before="20" w:after="20"/>
        <w:ind w:left="170"/>
      </w:pPr>
      <w:r>
        <w:rPr>
          <w:rFonts w:ascii="Calibri" w:hAnsi="Calibri"/>
          <w:b/>
          <w:color w:val="4A6B25"/>
          <w:sz w:val="15"/>
        </w:rPr>
        <w:t xml:space="preserve">3. </w:t>
      </w:r>
      <w:r>
        <w:rPr>
          <w:rFonts w:ascii="Calibri" w:hAnsi="Calibri"/>
          <w:b w:val="0"/>
          <w:color w:val="3A4A28"/>
          <w:sz w:val="17"/>
        </w:rPr>
        <w:t>Glassdoor — Hinge Health Employee Reviews 3.8/5 Stars, CEO Culture Concerns, AI Surveillance Issues, R&amp;D Layoffs, accessed August 2026</w:t>
      </w:r>
    </w:p>
    <w:p>
      <w:pPr>
        <w:spacing w:before="20" w:after="20"/>
        <w:ind w:left="170"/>
      </w:pPr>
      <w:r>
        <w:rPr>
          <w:rFonts w:ascii="Calibri" w:hAnsi="Calibri"/>
          <w:b/>
          <w:color w:val="4A6B25"/>
          <w:sz w:val="15"/>
        </w:rPr>
        <w:t xml:space="preserve">4. </w:t>
      </w:r>
      <w:r>
        <w:rPr>
          <w:rFonts w:ascii="Calibri" w:hAnsi="Calibri"/>
          <w:b w:val="0"/>
          <w:color w:val="3A4A28"/>
          <w:sz w:val="17"/>
        </w:rPr>
        <w:t>Seeking Alpha — Hinge Health Forecasts $856-860M Revenue, Plans Broader GI Rollout via Cylinder Health in 2027,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