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HURA</w:t>
      </w:r>
      <w:r>
        <w:rPr>
          <w:rFonts w:ascii="Calibri" w:hAnsi="Calibri"/>
          <w:b/>
          <w:color w:val="1A2010"/>
          <w:sz w:val="40"/>
        </w:rPr>
        <w:t xml:space="preserve">  TuHURA Biosciences, Inc.</w:t>
      </w:r>
    </w:p>
    <w:p>
      <w:pPr>
        <w:spacing w:after="120"/>
      </w:pPr>
      <w:r>
        <w:rPr>
          <w:rFonts w:ascii="Calibri" w:hAnsi="Calibri"/>
          <w:b/>
          <w:color w:val="6E8450"/>
          <w:sz w:val="18"/>
        </w:rPr>
        <w:t>GROWTH SLEEVE · 2026-07-26 · Inspire: 20 · FINITE</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44</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Healthcare · Biotechnology · NASDAQ · United States</w:t>
      </w:r>
    </w:p>
    <w:p>
      <w:pPr>
        <w:spacing w:after="80"/>
      </w:pPr>
      <w:r>
        <w:rPr>
          <w:rFonts w:ascii="Calibri" w:hAnsi="Calibri"/>
          <w:b w:val="0"/>
          <w:color w:val="3A4A28"/>
          <w:sz w:val="20"/>
        </w:rPr>
        <w:t>TuHURA Biosciences is a Phase 3 registration-stage immuno-oncology company developing novel technologies to overcome resistance to cancer immunotherapy. Its lead candidate IFx-2.0 is an innate immune agonist in a Phase 3 registration trial as adjunctive therapy to Keytruda in advanced Merkel Cell Carcinoma. Pipeline includes TBS-2025 VISTA inhibitor for AML and bi-specific ADCs targeting myeloid-derived suppressor cells. Approximately $150M market cap with 63.7M shares outstanding.</w:t>
      </w:r>
    </w:p>
    <w:p>
      <w:r>
        <w:rPr>
          <w:rFonts w:ascii="Calibri" w:hAnsi="Calibri"/>
          <w:b/>
          <w:color w:val="6E8450"/>
          <w:sz w:val="18"/>
        </w:rPr>
        <w:t>22 Employees · https://www.tuhurabio.com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5</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756"/>
            <w:shd w:fill="B8860B" w:val="clear"/>
          </w:tcPr>
          <w:p>
            <w:pPr>
              <w:spacing w:before="0" w:after="0"/>
            </w:pPr>
            <w:r>
              <w:rPr>
                <w:rFonts w:ascii="Calibri" w:hAnsi="Calibri"/>
                <w:b w:val="0"/>
                <w:color w:val="1A2010"/>
                <w:sz w:val="4"/>
              </w:rPr>
            </w:r>
          </w:p>
        </w:tc>
        <w:tc>
          <w:tcPr>
            <w:tcW w:type="dxa" w:w="2756"/>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TuHURA completed a transformative merger with Kintara Therapeutics in December 2023 and rebranded from Morphogenesis, consolidating its immuno-oncology pipeline under a single entity [1]. CEO Dr. James Bianco previously led CTI Biopharma through development and commercial launch of 3 novel therapeutics including Trisenox. However, TuHURA itself has no commercial products yet. AI Deployment (0/2): No evidence of AI-powered drug discovery tools, computational biology platforms, or AI-driven cost savings in clinical operations. Market Share (1/2): TuHURA's Delta Opioid Receptor (DOR) targeting of myeloid-derived suppressor cells represents a first-in-class approach to overcoming checkpoint inhibitor resistance, a differentiated mechanism in the immuno-oncology space [1][2]. Pipeline (2/2): Specific milestones with clear timelines — Phase 3 IFx-2.0 registration trial in MCC with enrollment completion expected 2H 2027 and topline data 2H 2027; FDA orphan drug designation for IFx-2.0 in melanoma; TBS-2025 VISTA inhibitor moving to Phase 1b/2 in mutNPM1 AML; data presentations planned for 2H 2026 scientific conferences [1][2]. R&amp;D Intensity (1/1): R&amp;D spending of $5.2M in Q1 2026 ($20.5M annualized) on zero revenue represents total commitment to research [1].</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TuHURA's mission to overcome resistance to cancer immunotherapy addresses a genuine unmet medical need affecting millions of patients whose cancers do not respond to checkpoint inhibitors [2]. The mission is clear and meaningful but not distinctive — nearly every clinical-stage immuno-oncology company articulates a similar purpose, and TuHURA has not yet validated its mission through commercial execution. Community Impact (1/2): Pursuing FDA orphan drug designation for rare cancers (Merkel Cell Carcinoma affects ~3,000 US patients annually) demonstrates commitment to underserved patient populations, though this also carries commercial incentives through 7-year market exclusivity and tax credits [2]. Employee Retention (0/2): With only 22 employees, no meaningful public retention data exists; the company is too small for assessment. Insider Buying (0/2): No evidence of executive open-market stock purchases; recent capital raises ($50M credit facility, equity financings) represent institutional investment and corporate financing, not insider conviction buying [3].</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TuHURA is a pre-revenue clinical-stage biotech with deeply constrained financials [1]. Q1 2026 R&amp;D expenses were $5.2M with G&amp;A of $2.3M, implying a quarterly burn rate of ~$7.5M ($30M annualized) against $6.3M cash at quarter-end. The critical development is the $50M non-equity credit facility and royalty transaction secured in April 2026, extending projected cash runway into 2028 and through Phase 3 data readout [1][2]. D/E remains minimal at approximately 3-5%. However, ROE is deeply negative, there is zero revenue, negative profit margin, and no forward P/E is meaningful. The sole positive metric contribution comes from the near-zero debt-to-equity ratio.</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DC2626"/>
          <w:sz w:val="22"/>
        </w:rPr>
        <w:t>FINITE</w:t>
      </w:r>
      <w:r>
        <w:rPr>
          <w:rFonts w:ascii="Calibri" w:hAnsi="Calibri"/>
          <w:b w:val="0"/>
          <w:color w:val="6E8450"/>
          <w:sz w:val="22"/>
        </w:rPr>
        <w:t xml:space="preserve">      Overall: </w:t>
      </w:r>
      <w:r>
        <w:rPr>
          <w:rFonts w:ascii="Calibri" w:hAnsi="Calibri"/>
          <w:b/>
          <w:color w:val="B8860B"/>
          <w:sz w:val="28"/>
        </w:rPr>
        <w:t>4</w:t>
      </w:r>
      <w:r>
        <w:rPr>
          <w:rFonts w:ascii="Calibri" w:hAnsi="Calibri"/>
          <w:b w:val="0"/>
          <w:color w:val="9DAF88"/>
          <w:sz w:val="18"/>
        </w:rPr>
        <w:t xml:space="preserve"> /10</w:t>
      </w:r>
    </w:p>
    <w:p>
      <w:pPr>
        <w:spacing w:after="120"/>
      </w:pPr>
      <w:r>
        <w:rPr>
          <w:rFonts w:ascii="Calibri" w:hAnsi="Calibri"/>
          <w:b w:val="0"/>
          <w:color w:val="3A4A28"/>
          <w:sz w:val="18"/>
        </w:rPr>
        <w:t>TuHURA is driven by a genuine mission to overcome cancer immunotherapy resistance, but the company's precarious financial position and dependence on external financing create existential pressure that forces short-term survival thinking. The $50M credit facility alleviates the most acute funding risk, but the company remains locked into a narrow clinical path with limited strategic flexibility.</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Overcoming resistance to cancer immunotherapy is a genuine Just Cause that connects scientific work to human survival — millions of patients fail to respond to checkpoint inhibitors, and TuHURA's DOR mechanism addresses a real unmet need [2]. CEO Dr. Bianco's consistent framing of the company's work around patient outcomes and his track record of successful drug launches at CTI Biopharma suggest authentic purpose. However, the cause has not been tested through crisis or validated by decades of execution — and virtually every clinical-stage biotech articulates a similar patient-first mission.</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With only 22 employees, TuHURA operates as a small, focused team where trust and collaboration are structurally necessary [2]. Recent leadership additions — Amanda Garofalo as SVP of Clinical Operations and board member Craig Tendler engaged as de facto CMO — strengthen the clinical execution team [2]. CEO Bianco's track record at CTI Biopharma suggests he can build functional teams. However, the company's tiny size and constant fundraising create inherent instability.</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TuHURA competes in the immuno-oncology space alongside Merck (Keytruda), Bristol-Myers Squibb (Opdivo), and numerous checkpoint inhibitor developers, but no evidence of management acknowledging competitor strengths as learning opportunities [1]. The company's positioning emphasizes its unique DOR mechanism as differentiated and superior, which is typical finite-game competitive framing in biotech.</w:t>
      </w:r>
    </w:p>
    <w:p>
      <w:pPr>
        <w:spacing w:before="200" w:after="40"/>
      </w:pPr>
      <w:r>
        <w:rPr>
          <w:rFonts w:ascii="Calibri" w:hAnsi="Calibri"/>
          <w:b/>
          <w:color w:val="1A2010"/>
          <w:sz w:val="22"/>
        </w:rPr>
        <w:t>Existential Flexibility</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(0/2): TuHURA is too early-stage and resource-constrained to have demonstrated transformative strategic flexibility [1]. The Kintara Therapeutics merger was a survival transaction to combine pipelines and access public markets, not a bold cause-driven pivot. The company remains locked into its current clinical programs — IFx-2.0, TBS-2025, and early ADC work — because it lacks the resources to explore fundamentally different directions. If IFx-2.0 fails, there is no evident transformative fallback.</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Pursuing a Phase 3 registration trial as a 22-person, ~$150M market cap company requires genuine courage from leadership [1]. Dr. Bianco's decision to advance IFx-2.0 into a registrational trial and to secure the $50M non-dilutive credit facility — rather than licensing the asset to a larger partner — represents a bet-the-company choice driven by conviction in the science. However, this courage is partially forced by the company's limited strategic alternatives.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TuHURA offers a high-risk, high-reward binary bet on a differentiated immuno-oncology platform targeting the massive checkpoint inhibitor resistance market [1][2]. The transformative April 2026 development — a $50M non-equity credit facility extending cash runway into 2028 — eliminates the near-term existential dilution risk that previously defined the bear case. IFx-2.0's Phase 3 registration trial in Merkel Cell Carcinoma as adjunctive therapy to Keytruda provides a clear regulatory path with FDA orphan drug designation, and CEO Dr. Bianco's track record of 3 successful drug launches at CTI Biopharma provides operational credibility. At ~$150M market cap, a positive Phase 3 readout (topline data expected 2H 2027) could drive transformative revaluation.</w:t>
      </w:r>
    </w:p>
    <w:p>
      <w:pPr>
        <w:spacing w:after="120"/>
      </w:pPr>
      <w:r>
        <w:rPr>
          <w:rFonts w:ascii="Calibri" w:hAnsi="Calibri"/>
          <w:b w:val="0"/>
          <w:color w:val="3A4A28"/>
          <w:sz w:val="20"/>
        </w:rPr>
        <w:t>The bear case remains concentrated around clinical risk: if the Phase 3 IFx-2.0 trial fails, the stock likely approaches zero — there is no revenue, no approved products, and the pipeline alternatives (TBS-2025, ADCs) are years behind. Even with the $50M facility, the $30M annual burn rate leaves limited margin for error, and the credit facility/royalty structure likely encumbers future revenue streams if IFx-2.0 succeeds [1]. Merkel Cell Carcinoma is a rare cancer (~3,000 US cases/year), limiting the initial commercial opportunity even with orphan drug exclusivity unless the platform expands to larger indications like melanoma. The 63.7M shares outstanding reflect significant dilution from multiple financing rounds, and the annual meeting includes a vote on issuing an additional 1.88M shares [3]. CEO compensation of $4.0M annually on a zero-revenue company with $6.3M cash raises governance concerns.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IFx-2.0 registration trial in MCC expected to complete enrollment 2H 2027 with topline data potentially transforming the company's valuation if positive — the $50M credit facility ensures funding through this milestone [1][2]</w:t>
      </w:r>
    </w:p>
    <w:p>
      <w:pPr>
        <w:spacing w:before="40" w:after="40"/>
        <w:ind w:left="283"/>
      </w:pPr>
      <w:r>
        <w:rPr>
          <w:rFonts w:ascii="Calibri" w:hAnsi="Calibri"/>
          <w:b/>
          <w:color w:val="4A6B25"/>
          <w:sz w:val="20"/>
        </w:rPr>
        <w:t xml:space="preserve">2. </w:t>
      </w:r>
      <w:r>
        <w:rPr>
          <w:rFonts w:ascii="Calibri" w:hAnsi="Calibri"/>
          <w:b w:val="0"/>
          <w:color w:val="3A4A28"/>
          <w:sz w:val="20"/>
        </w:rPr>
        <w:t>2H 2026 data presentations at scientific conferences for IFx-2.0 basket trial results and proof-of-concept ADC data could attract partnership interest or validate the broader platform beyond MCC [2]</w:t>
      </w:r>
    </w:p>
    <w:p>
      <w:pPr>
        <w:spacing w:before="40" w:after="40"/>
        <w:ind w:left="283"/>
      </w:pPr>
      <w:r>
        <w:rPr>
          <w:rFonts w:ascii="Calibri" w:hAnsi="Calibri"/>
          <w:b/>
          <w:color w:val="4A6B25"/>
          <w:sz w:val="20"/>
        </w:rPr>
        <w:t xml:space="preserve">3. </w:t>
      </w:r>
      <w:r>
        <w:rPr>
          <w:rFonts w:ascii="Calibri" w:hAnsi="Calibri"/>
          <w:b w:val="0"/>
          <w:color w:val="3A4A28"/>
          <w:sz w:val="20"/>
        </w:rPr>
        <w:t>TBS-2025 VISTA inhibitor advancing to Phase 1b/2 in mutNPM1 relapsed/refractory AML would diversify the pipeline beyond the binary IFx-2.0 outcome and demonstrate platform breadth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Phase 3 IFx-2.0 clinical trial failure in MCC would result in near-total equity loss — the company has zero revenue, no approved products, and limited pipeline diversification for a 22-person team [1]</w:t>
      </w:r>
    </w:p>
    <w:p>
      <w:pPr>
        <w:spacing w:before="40" w:after="40"/>
        <w:ind w:left="283"/>
      </w:pPr>
      <w:r>
        <w:rPr>
          <w:rFonts w:ascii="Calibri" w:hAnsi="Calibri"/>
          <w:b/>
          <w:color w:val="4A6B25"/>
          <w:sz w:val="20"/>
        </w:rPr>
        <w:t xml:space="preserve">2. </w:t>
      </w:r>
      <w:r>
        <w:rPr>
          <w:rFonts w:ascii="Calibri" w:hAnsi="Calibri"/>
          <w:b w:val="0"/>
          <w:color w:val="3A4A28"/>
          <w:sz w:val="20"/>
        </w:rPr>
        <w:t>Annual operating burn of ~$30M ($5.2M R&amp;D + $2.3M G&amp;A quarterly) against the $50M credit facility leaves runway into 2028 but with limited margin for clinical delays or expanded trial scope [1]</w:t>
      </w:r>
    </w:p>
    <w:p>
      <w:pPr>
        <w:spacing w:before="40" w:after="40"/>
        <w:ind w:left="283"/>
      </w:pPr>
      <w:r>
        <w:rPr>
          <w:rFonts w:ascii="Calibri" w:hAnsi="Calibri"/>
          <w:b/>
          <w:color w:val="4A6B25"/>
          <w:sz w:val="20"/>
        </w:rPr>
        <w:t xml:space="preserve">3. </w:t>
      </w:r>
      <w:r>
        <w:rPr>
          <w:rFonts w:ascii="Calibri" w:hAnsi="Calibri"/>
          <w:b w:val="0"/>
          <w:color w:val="3A4A28"/>
          <w:sz w:val="20"/>
        </w:rPr>
        <w:t>Merkel Cell Carcinoma is an ultra-rare cancer (~3,000 US cases/year), capping the initial addressable market even with successful approval and 7-year orphan drug exclusivity — commercial viability depends on expanding to larger indications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(7/9): Drug development, particularly novel immuno-oncology therapeutics targeting the tumor microenvironment through proprietary biological mechanisms (DOR-targeting of MDSCs), requires wet lab biology, clinical trials, and FDA regulatory expertise that AI structurally cannot replace [2]. TuHURA's core value resides in its proprietary biological platform, Phase 3 clinical trial data, and FDA-granted orphan drug designations — these are physical-world, regulatory-gated assets. AI drug discovery tools may accelerate competitor timelines in adjacent therapeutic areas but cannot substitute for TuHURA's specific clinical data and regulatory position. AI Opportunity (0/1): No quantifiable AI-related revenue or AI-powered products. While AI-driven computational biology could theoretically accelerate preclinical ADC development, no specific AI deployment or AI revenue has been announced.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20</w:t>
      </w:r>
      <w:r>
        <w:rPr>
          <w:rFonts w:ascii="Calibri" w:hAnsi="Calibri"/>
          <w:b/>
          <w:color w:val="B8860B"/>
          <w:sz w:val="20"/>
        </w:rPr>
        <w:t xml:space="preserve">    MIXED</w:t>
      </w:r>
    </w:p>
    <w:p>
      <w:pPr>
        <w:spacing w:before="80" w:after="40"/>
      </w:pPr>
      <w:r>
        <w:rPr>
          <w:rFonts w:ascii="Calibri" w:hAnsi="Calibri"/>
          <w:b/>
          <w:color w:val="6E8450"/>
          <w:sz w:val="18"/>
        </w:rPr>
        <w:t xml:space="preserve">Positive: </w:t>
      </w:r>
      <w:r>
        <w:rPr>
          <w:rFonts w:ascii="Calibri" w:hAnsi="Calibri"/>
          <w:b/>
          <w:color w:val="16A34A"/>
          <w:sz w:val="17"/>
        </w:rPr>
        <w:t xml:space="preserve"> Customer Welfare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Sales Practices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Safety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TuHURA Biosciences Q1 2026 Financial Results and Corporate Update — PR Newswire, May 2026</w:t>
      </w:r>
    </w:p>
    <w:p>
      <w:pPr>
        <w:spacing w:before="20" w:after="20"/>
        <w:ind w:left="170"/>
      </w:pPr>
      <w:r>
        <w:rPr>
          <w:rFonts w:ascii="Calibri" w:hAnsi="Calibri"/>
          <w:b/>
          <w:color w:val="4A6B25"/>
          <w:sz w:val="15"/>
        </w:rPr>
        <w:t xml:space="preserve">2. </w:t>
      </w:r>
      <w:r>
        <w:rPr>
          <w:rFonts w:ascii="Calibri" w:hAnsi="Calibri"/>
          <w:b w:val="0"/>
          <w:color w:val="3A4A28"/>
          <w:sz w:val="17"/>
        </w:rPr>
        <w:t>TuHURA Biosciences Corporate Pipeline, Management Team, and $50M Credit Facility Announcement — ir.tuhurabio.com, April-May 2026</w:t>
      </w:r>
    </w:p>
    <w:p>
      <w:pPr>
        <w:spacing w:before="20" w:after="20"/>
        <w:ind w:left="170"/>
      </w:pPr>
      <w:r>
        <w:rPr>
          <w:rFonts w:ascii="Calibri" w:hAnsi="Calibri"/>
          <w:b/>
          <w:color w:val="4A6B25"/>
          <w:sz w:val="15"/>
        </w:rPr>
        <w:t xml:space="preserve">3. </w:t>
      </w:r>
      <w:r>
        <w:rPr>
          <w:rFonts w:ascii="Calibri" w:hAnsi="Calibri"/>
          <w:b w:val="0"/>
          <w:color w:val="3A4A28"/>
          <w:sz w:val="17"/>
        </w:rPr>
        <w:t>TuHURA Biosciences Proxy Statement (DEF 14A) and Annual Meeting Notice — SEC Filing, June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