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IGR</w:t>
      </w:r>
      <w:r>
        <w:rPr>
          <w:rFonts w:ascii="Calibri" w:hAnsi="Calibri"/>
          <w:b/>
          <w:color w:val="1A2010"/>
          <w:sz w:val="40"/>
        </w:rPr>
        <w:t xml:space="preserve">  CBRE Global Real Estate Income Fund</w:t>
      </w:r>
    </w:p>
    <w:p>
      <w:pPr>
        <w:spacing w:after="120"/>
      </w:pPr>
      <w:r>
        <w:rPr>
          <w:rFonts w:ascii="Calibri" w:hAnsi="Calibri"/>
          <w:b/>
          <w:color w:val="6E8450"/>
          <w:sz w:val="18"/>
        </w:rPr>
        <w:t>DIVIDEND SLEEVE · 2026-08-07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(Closed-End Fund - Global Real Estate) · NYSE · United States</w:t>
      </w:r>
    </w:p>
    <w:p>
      <w:pPr>
        <w:spacing w:after="80"/>
      </w:pPr>
      <w:r>
        <w:rPr>
          <w:rFonts w:ascii="Calibri" w:hAnsi="Calibri"/>
          <w:b w:val="0"/>
          <w:color w:val="3A4A28"/>
          <w:sz w:val="20"/>
        </w:rPr>
        <w:t>CBRE Global Real Estate Income Fund is a diversified, closed-end fund launched February 24, 2004 and managed by CBRE Investment Management. It invests globally in income-producing common and preferred equity of real estate companies and REITs across North America, Europe, Australia, and Asia, spanning office, retail, industrial, residential, healthcare, data center, and storage property types. The Fund uses effective leverage (~32% of assets) to pursue a high current income objective, paying monthly distributions, with capital appreciation as a secondary goal.</w:t>
      </w:r>
    </w:p>
    <w:p>
      <w:r>
        <w:rPr>
          <w:rFonts w:ascii="Calibri" w:hAnsi="Calibri"/>
          <w:b/>
          <w:color w:val="6E8450"/>
          <w:sz w:val="18"/>
        </w:rPr>
        <w:t>https://www.cbreim.com/strategies-and-solutions/investment/listed-real-assets/global-real-estate-income-fund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IGR is a passive-mandate closed-end fund that has run the same global real-estate-equity, income-with-leverage strategy since 2004 with no product launches or business-model pivots [1]. AI Deployment (0/2): No AI deployment or strategy is evident; portfolio construction relies on traditional fundamental real estate analysis [1]. Market Share (1/2): The CBRE Investment Management brand lends institutional credibility and the fund carries roughly $1.02 billion in total assets, a meaningful size among global real estate CEFs, but it is not a category leader [2]. Product Pipeline (0/2): No new products or strategic evolution have been announced; the mandate is static. R&amp;D Intensity (0/1): Not applicable to a closed-end fund vehicle.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Fund's objective — 'a high level of income, with capital appreciation as a secondary investment objective' — is a financial return mandate, not a purpose statement, and is interchangeable with dozens of similar income-focused CEFs [1]. Community Impact (0/2): No evidence of charitable or community programs specific to the Fund was found. Employee Retention (0/2): The Fund has no employees; it is externally managed by CBRE Investment Management Listed Real Assets LLC, so this dimension is not applicable. Insider Buying (0/2): No insider transaction data specific to the Fund's trustees or manager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IGR's metrics are distorted by its closed-end fund structure, similar to peer CEFs. Effective leverage of 31.89% is used as a debt-to-equity proxy, scoring a full 1.0 against the 70% target [2]. One-year NAV total return of 13.47% is used as an ROE proxy, scoring 0.90 against the 15% target, and TTM revenue (investment income) of $40.85M declined 2.8% YoY, scoring 0.57 [2][6]. The critical weakness is the distribution: trailing EPS of $0.11 against a $0.72 annualized distribution implies a payout ratio near 655%, flooring the payout-ratio metric at 0 [6]. Consecutive years paid is strong at 22 years (since February 2004, with the fund's only cut in the 2008 financial crisis and no cut through the 2020 pandemic), scoring a full 1.0 at 2x weight, but consecutive years of distribution growth is 0 — the payout has been flat at $0.72/year since a March 2022 increase from $0.60 — and the resulting 5yr dividend growth CAGR of ~3.7% scores 0.62 at 2x weight [3]. Revenue 5yr CAGR, Forward P/E, PEG, and profit margin are excluded as not meaningful for a fund structure. Liquidity floor cleared: 721,004 avg volume x $4.68 = $3.37M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IGR is a textbook finite-game financial vehicle — it exists to generate a high headline distribution yield for shareholders, not to advance any larger cause, and has run an unchanged strategy for 22 years. The distribution has at least been more durable than some peer CEFs (no cut since 2008, unlike funds that cut through the 2020 pandemic), which is the only mitigating factor.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Fund has no Just Cause — its sole purpose is generating current income and capital appreciation for shareholders, a financial return objective rather than a vision of a better future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Fund has no employees of its own, but its 22-year distribution history without a dilutive rights offering or a distribution cut since 2008 (including holding steady through the 2020 pandemic) suggests more operational stability than some peer funds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CBRE Investment Management frames IGR's strategy around learning from competing real estate CEFs or REIT index products.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Fund has run the same global real-estate-equity-with-leverage strategy since inception in 2004, with no strategic adaptation to 22 years of changing real estate and interest-rate cycles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There is no evidence of a courageous leadership decision; management has maintained the flat $0.72 distribution since 2022 rather than either reducing it to a sustainable level or meaningfully growing it, the path of least resistance for retaining income-seeking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IGR offers a 15.4% distribution yield paid monthly, backed by a globally diversified portfolio of real estate equities across North America, Europe, Australia, and Asia (top positions include Goodman Group, Aedifica, Klepierre, and Unibail-Rodamco-Westfield) [4]. The fund has paid distributions for 22 consecutive years without a cut since the 2008 financial crisis, including holding steady through the 2020 pandemic, and currently trades near NAV (a 1.5% premium versus a 5-year average discount of -4.14%) [2][3]. Year-to-date through July 2026, the fund delivered a 13.62% NAV return, ahead of its category average of 12.03% [2]. Effective leverage of 31.9% is moderate for a leveraged CEF, and CBRE Investment Management brings institutional-quality real estate research to portfolio construction.</w:t>
      </w:r>
    </w:p>
    <w:p>
      <w:pPr>
        <w:spacing w:after="120"/>
      </w:pPr>
      <w:r>
        <w:rPr>
          <w:rFonts w:ascii="Calibri" w:hAnsi="Calibri"/>
          <w:b w:val="0"/>
          <w:color w:val="3A4A28"/>
          <w:sz w:val="20"/>
        </w:rPr>
        <w:t>The bear case is structural and severe: trailing EPS of just $0.11 supports only a fraction of the $0.72 annual distribution, implying a payout ratio near 655% and confirming the fund is substantially returning shareholders' own capital rather than generating true investment income [6]. The distribution has been completely flat since March 2022, meaning income-seeking holders have seen no growth against inflation for over four years, and the ~2.35% annual interest-expense drag from the fund's leverage (part of a 3.84% total expense ratio) compounds the erosion [2]. TTM investment income declined 2.8% YoY, and the fund's structural reliance on covered-call and leverage income to sustain a mechanically unsupportable payout ratio means any sustained real estate downturn or rate spike would likely force a distribution cut. There is no Just Cause, no innovation, and no strategic evolution — this is a pure yield vehicle whose main achievement is not having cut its distribution since 2008.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real estate recovery, particularly in office and retail REITs, which would support NAV growth and narrow the gap between the mechanically unsustainable distribution and actual investment income</w:t>
      </w:r>
    </w:p>
    <w:p>
      <w:pPr>
        <w:spacing w:before="40" w:after="40"/>
        <w:ind w:left="283"/>
      </w:pPr>
      <w:r>
        <w:rPr>
          <w:rFonts w:ascii="Calibri" w:hAnsi="Calibri"/>
          <w:b/>
          <w:color w:val="4A6B25"/>
          <w:sz w:val="20"/>
        </w:rPr>
        <w:t xml:space="preserve">2. </w:t>
      </w:r>
      <w:r>
        <w:rPr>
          <w:rFonts w:ascii="Calibri" w:hAnsi="Calibri"/>
          <w:b w:val="0"/>
          <w:color w:val="3A4A28"/>
          <w:sz w:val="20"/>
        </w:rPr>
        <w:t>Interest rate cuts reducing the fund's leverage cost (part of its 3.84% expense ratio), directly improving net investment income available for distribution</w:t>
      </w:r>
    </w:p>
    <w:p>
      <w:pPr>
        <w:spacing w:before="40" w:after="40"/>
        <w:ind w:left="283"/>
      </w:pPr>
      <w:r>
        <w:rPr>
          <w:rFonts w:ascii="Calibri" w:hAnsi="Calibri"/>
          <w:b/>
          <w:color w:val="4A6B25"/>
          <w:sz w:val="20"/>
        </w:rPr>
        <w:t xml:space="preserve">3. </w:t>
      </w:r>
      <w:r>
        <w:rPr>
          <w:rFonts w:ascii="Calibri" w:hAnsi="Calibri"/>
          <w:b w:val="0"/>
          <w:color w:val="3A4A28"/>
          <w:sz w:val="20"/>
        </w:rPr>
        <w:t>Continued exposure to data center and industrial REIT holdings that could benefit from AI-driven infrastructure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 payout ratio near 655% against $0.11 trailing EPS means distributions are substantially return of capital, an unsustainable structure that risks a distribution cut if real estate income does not improve materially</w:t>
      </w:r>
    </w:p>
    <w:p>
      <w:pPr>
        <w:spacing w:before="40" w:after="40"/>
        <w:ind w:left="283"/>
      </w:pPr>
      <w:r>
        <w:rPr>
          <w:rFonts w:ascii="Calibri" w:hAnsi="Calibri"/>
          <w:b/>
          <w:color w:val="4A6B25"/>
          <w:sz w:val="20"/>
        </w:rPr>
        <w:t xml:space="preserve">2. </w:t>
      </w:r>
      <w:r>
        <w:rPr>
          <w:rFonts w:ascii="Calibri" w:hAnsi="Calibri"/>
          <w:b w:val="0"/>
          <w:color w:val="3A4A28"/>
          <w:sz w:val="20"/>
        </w:rPr>
        <w:t>Effective leverage of ~32% amplifies losses in a real estate downturn and increases interest-expense drag (part of a 3.84% total expense ratio) if rates rise</w:t>
      </w:r>
    </w:p>
    <w:p>
      <w:pPr>
        <w:spacing w:before="40" w:after="40"/>
        <w:ind w:left="283"/>
      </w:pPr>
      <w:r>
        <w:rPr>
          <w:rFonts w:ascii="Calibri" w:hAnsi="Calibri"/>
          <w:b/>
          <w:color w:val="4A6B25"/>
          <w:sz w:val="20"/>
        </w:rPr>
        <w:t xml:space="preserve">3. </w:t>
      </w:r>
      <w:r>
        <w:rPr>
          <w:rFonts w:ascii="Calibri" w:hAnsi="Calibri"/>
          <w:b w:val="0"/>
          <w:color w:val="3A4A28"/>
          <w:sz w:val="20"/>
        </w:rPr>
        <w:t>The distribution has been flat since March 2022, meaning income has not kept pace with inflation, eroding real purchasing power for income-dependent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IGR's underlying holdings are publicly traded global real estate equities and REITs — physical assets whose value is set by location, zoning, and capital markets dynamics that AI cannot directly displace [1][4]. Some of the fund's holdings (data center and industrial/logistics REITs) may even benefit from AI-driven demand, but the fund itself faces indirect competitive pressure from low-cost robo-advisor and AI-powered portfolio tools that could erode demand for a high-fee, actively managed CEF structure over time. AI Opportunity (0/1): The fund generates no AI-related revenue; any AI exposure is indirect through portfolio holdings.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CBRE Global Real Estate Income Fund fund profile — CBRE Investment Management, cbreim.com</w:t>
      </w:r>
    </w:p>
    <w:p>
      <w:pPr>
        <w:spacing w:before="20" w:after="20"/>
        <w:ind w:left="170"/>
      </w:pPr>
      <w:r>
        <w:rPr>
          <w:rFonts w:ascii="Calibri" w:hAnsi="Calibri"/>
          <w:b/>
          <w:color w:val="4A6B25"/>
          <w:sz w:val="15"/>
        </w:rPr>
        <w:t xml:space="preserve">2. </w:t>
      </w:r>
      <w:r>
        <w:rPr>
          <w:rFonts w:ascii="Calibri" w:hAnsi="Calibri"/>
          <w:b w:val="0"/>
          <w:color w:val="3A4A28"/>
          <w:sz w:val="17"/>
        </w:rPr>
        <w:t>CEF Connect — IGR fund summary: NAV, premium/discount, effective leverage, distribution rate, expense ratio,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CBRE Global Real Estate Income Fund distribution declarations and N-CSR annual/semi-annual reports — SEC EDGAR, 2022-2026</w:t>
      </w:r>
    </w:p>
    <w:p>
      <w:pPr>
        <w:spacing w:before="20" w:after="20"/>
        <w:ind w:left="170"/>
      </w:pPr>
      <w:r>
        <w:rPr>
          <w:rFonts w:ascii="Calibri" w:hAnsi="Calibri"/>
          <w:b/>
          <w:color w:val="4A6B25"/>
          <w:sz w:val="15"/>
        </w:rPr>
        <w:t xml:space="preserve">4. </w:t>
      </w:r>
      <w:r>
        <w:rPr>
          <w:rFonts w:ascii="Calibri" w:hAnsi="Calibri"/>
          <w:b w:val="0"/>
          <w:color w:val="3A4A28"/>
          <w:sz w:val="17"/>
        </w:rPr>
        <w:t>CBRE Global Real Estate Income Fund Form NPORT-P holdings filing (March 31, 2026) — SEC EDGAR</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IGR key statistics and financials,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