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ITW</w:t>
      </w:r>
      <w:r>
        <w:rPr>
          <w:rFonts w:ascii="Calibri" w:hAnsi="Calibri"/>
          <w:b/>
          <w:color w:val="1A2010"/>
          <w:sz w:val="40"/>
        </w:rPr>
        <w:t xml:space="preserve">  Illinois Tool Works Inc.</w:t>
      </w:r>
    </w:p>
    <w:p>
      <w:pPr>
        <w:spacing w:after="120"/>
      </w:pPr>
      <w:r>
        <w:rPr>
          <w:rFonts w:ascii="Calibri" w:hAnsi="Calibri"/>
          <w:b/>
          <w:color w:val="6E8450"/>
          <w:sz w:val="18"/>
        </w:rPr>
        <w:t>DIVIDEND SLEEVE · 2026-07-29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Illinois Tool Works is a global diversified manufacturer operating approximately 88 decentralized business divisions across 52 countries through seven segments: Automotive OEM, Food Equipment, Test &amp; Measurement and Electronics, Welding, Polymers &amp; Fluids, Construction Products, and Specialty Products. The company is renowned for its proprietary 80/20 Front-to-Back Process, which drives margin expansion, customer-back innovation, and operating discipline across all divisions. ITW has 43,000 employees and generates approximately $16B in annual revenue.</w:t>
      </w:r>
    </w:p>
    <w:p>
      <w:r>
        <w:rPr>
          <w:rFonts w:ascii="Calibri" w:hAnsi="Calibri"/>
          <w:b/>
          <w:color w:val="6E8450"/>
          <w:sz w:val="18"/>
        </w:rPr>
        <w:t>43,000 Employees · https://www.itw.com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ITW's Customer-Back Innovation (CBI) programs contribute incrementally to revenue growth across its 88 divisions, but the company has not executed a transformative product launch, market pivot, or business model transformation in the last 5 years [1][2]. Q2 2026 revenue of $4.30B (+6.1% YoY) and Q1 2026 revenue of $4.02B (+5%) demonstrate operational momentum, but this is driven by the 80/20 efficiency model and pricing power, not product innovation. The company operates essentially the same businesses it operated 5 years ago. AI Deployment (0/2): ITW lacks a public-facing AI strategy and has not disclosed any AI-powered products or quantified AI-driven cost savings. Analysis suggests the 80/20 model could serve as a 'natural filter' for high-ROI AI applications within divisions, but this is speculative, not realized [3]. Market Share (2/2): ITW holds leadership positions in multiple niche industrial categories through its 88 autonomous divisions, including welding, food equipment, automotive OEM components, and test &amp; measurement [1]. The 80/20 model systematically focuses each division on the customers and products where it can maintain dominant positions, making ITW a category leader across dozens of specialized industrial niches. Product Pipeline (0/2): No specific next-generation products announced with timelines. CBI programs provide incremental innovation but without named products or launch dates. 2026 guidance projects 3-4% organic growth but without pipeline specifics [2]. R&amp;D Intensity (0/1): ITW conducts R&amp;D through decentralized CBI programs tailored to top customers, but overall R&amp;D intensity as a percentage of revenue is below the industrial machinery peer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ITW's operational identity centers on empowering its 88 business divisions to 'think and act like owners' through the 80/20 Business Model — a distinctive management philosophy that has shaped strategic decisions consistently for over a decade [3]. The decentralized culture is genuinely differentiated and clearly drives capital allocation, portfolio composition, and operating discipline. However, 80/20 is an operational HOW rather than a purposeful WHY — it optimizes existing industrial operations rather than articulating a vision of a better future. Community &amp; Charitable Impact (1/2): ITW Foundation supports community programs and local division-level giving across its 52-country footprint, though no distinctive large-scale philanthropic initiatives with specific dollar amounts were publicly highlighted [4]. Employee Retention (1/2): CEO Christopher O'Herlihy rose through a 35-year career at ITW before becoming CEO in January 2024, and the leadership team consistently features internal promotions reflecting deep institutional loyalty and long tenure [3]. The decentralized model creates autonomous, entrepreneurial environments where leaders have genuine ownership of their divisions. However, no specific voluntary turnover data or average tenure statistics were available. Insider Buying (0/2): Director David Smith purchased $1.7M in shares at $250, but former CEO Scott Santi sold $48.7M upon retirement — significant net insider selling that overwhelms the positive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sleeve). ITW delivered Q2 2026 revenue of $4.30B (+6.1% YoY) and raised full-year 2026 guidance to GAAP EPS of $11.35-$11.55 (9% growth at midpoint) with operating margins of 26.5-27.5% and free cash flow exceeding 100% of net income [1][2]. ROE of 96.85% is exceptional (driven by reduced equity base from aggressive buybacks) and net profit margin of 19.32% is near the 20% target [5]. Forward P/E of 22.11 is reasonable for a premium industrial compounder and scores 0.947. The dividend track record is elite: 62 consecutive years of increases with 7.14% 5-year CAGR to a current $6.44 annualized dividend (2.56% yield), payout ratio of 57.72%, and free cash flow comfortably covering both dividends and buybacks [1][5]. The primary drag is D/E of 251%, reflecting $9.15B debt against a buyback-reduced equity base — structural for shareholder-return-focused industrials but scoring 0.213. Revenue growth of approximately 5% YoY and 3.3% 5-year CAGR are moderate but show improvement from prior stagnation. Liquidity floor easily cleared: 1.46M avg volume x $298.56 = $435M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ITW exemplifies a company built to endure through its decentralized 80/20 Business Model, which has been consistently applied for over a decade across economic cycles and leadership transitions. The model empowers 88 business units to operate autonomously with genuine ownership, and the 62-year dividend growth streak demonstrates remarkable consistency. However, ITW's relatively modest organic growth (3-4% guided) and reliance on financial engineering (aggressive buybacks reducing equity and amplifying ROE) suggest a company that prioritizes steady, predictable returns over bold strategic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ITW's 80/20 Business Model represents a genuine and distinctive cause — empowering decentralized business units to deliver differentiated value by focusing on the top 20% of customers and products while eliminating complexity [3]. This philosophy has been validated by over a decade of consistent execution, survived the CEO transition from Scott Santi to Christopher O'Herlihy in 2024 without disruption, and shapes every strategic decision from portfolio composition to capital allocation to talent development. The model is specific, thoughtful, and clearly differentiated from any peer — you can identify ITW's approach instantly. However, it falls short of a transformative Just Cause because it optimizes existing industrial operations rather than describing a bold future state that invites others to sacrifice to advance it.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ITW's organizational design is a masterclass in trust — only four executives report directly to the CEO, and 88 operating divisions run with substantial autonomy, making their own decisions about products, customers, and operations without waiting for corporate approval [3]. CEO O'Herlihy's 35-year internal career and the board's emphasis on 'collaboration, transparency, and open communication' reflect deep institutional trust. The company's CHRO emphasizes a culture of trust, integrity, respect, and simplicity. The decentralized model succeeds precisely because corporate headquarters trusts division leaders to execute — this is structural trust, not aspirational language.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ITW competes against specialized rivals in each of its seven segments — Lincoln Electric in welding, Middleby in food equipment, Stanley Black &amp; Decker in construction, Danaher in test &amp; measurement — and uses competitive pressure to refine its 80/20 focus on the highest-value customers and products [1]. Management language consistently focuses on self-improvement through simplification and customer-back innovation rather than defeating specific competitors. The 80/20 model is inherently about becoming better at what you do, not about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ITW has evolved through deliberate portfolio optimization — divesting Industrial Packaging and other commodity businesses while focusing on higher-margin, more differentiated segments [1]. The company reduced from hundreds of divisions to approximately 88 through strategic consolidation. These are meaningful, painful decisions to abandon revenue in service of the 80/20 philosophy. However, the evolution has been incremental within the existing framework rather than a transformative reinvention of the business — ITW has not fundamentally changed what it does, only refined how it does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ITW demonstrated courage in fully committing to the 80/20 transformation beginning in 2012, divesting underperforming businesses and restructuring operations even when it meant sacrificing near-term revenue [1]. The company's 7% dividend increase for 2026 (the 62nd consecutive increase) and maintenance of the buyback program during uncertain macro conditions show conviction. Q2 2026 guidance raise to $11.35-$11.55 EPS amid trade policy uncertainty demonstrates confidence [2]. However, the 3-4% organic growth guidance suggests prioritizing margin preservation over bold growth investments, and the company has not made a transformative bet outside its existing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Illinois Tool Works is a premier industrial compounder delivering accelerating results — Q2 2026 revenue of $4.30B grew 6.1% YoY, prompting management to raise full-year EPS guidance to $11.35-$11.55 (9% growth at midpoint) with operating margins expanding to 26.5-27.5% [1][2]. The 80/20 Business Model drives industry-leading profitability with 19.32% net margins and 96.85% ROE, while CBI programs contribute incremental organic growth across 88 autonomous divisions. The dividend track record is extraordinary: 62 consecutive annual increases at a 7.14% 5-year CAGR, currently yielding 2.56% on $6.44 annualized, with a healthy 57.72% payout ratio and free cash flow exceeding 100% of net income [1][5]. The Infrastructure score of 9 reflects a company that scores well across nearly every financial metric — the only drag is the 251% D/E from aggressive buybacks, which is structural rather than distress-driven.</w:t>
      </w:r>
    </w:p>
    <w:p>
      <w:pPr>
        <w:spacing w:after="120"/>
      </w:pPr>
      <w:r>
        <w:rPr>
          <w:rFonts w:ascii="Calibri" w:hAnsi="Calibri"/>
          <w:b w:val="0"/>
          <w:color w:val="3A4A28"/>
          <w:sz w:val="20"/>
        </w:rPr>
        <w:t>The bear case centers on low organic growth, elevated valuation, and leverage. Revenue 5-year CAGR of 3.3% and guided organic growth of 3-4% barely exceed inflation, raising the question of whether ITW's financial engineering (buybacks reducing share count and equity, amplifying ROE and EPS) masks underlying business stagnation [2][5]. At 22.11x forward earnings, the stock is priced for consistent execution with minimal margin of safety — any organic growth miss or margin pressure could trigger multiple compression. D/E of 251% with $9.15B debt means elevated rates directly pressure interest expense and reduce free cash flow available for dividends and buybacks. Automotive OEM exposure (the largest segment) faces EV transition uncertainty, potential tariff impacts, and cyclical OEM production risk. The Inspire Impact Score of -49 (MISALIGNED) due to LGBT Activism attribution may concern faith-aligned investors. Net insider selling ($48.7M by former CEO Santi vs. $1.7M buying by director Smith) provides a cautionary signal despite the strong operational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raise to EPS $11.35-$11.55 with operating margins expanding to 26.5-27.5%, driven by enterprise initiatives and CBI organic growth contributing 200+ bps across 88 divisions [1][2]</w:t>
      </w:r>
    </w:p>
    <w:p>
      <w:pPr>
        <w:spacing w:before="40" w:after="40"/>
        <w:ind w:left="283"/>
      </w:pPr>
      <w:r>
        <w:rPr>
          <w:rFonts w:ascii="Calibri" w:hAnsi="Calibri"/>
          <w:b/>
          <w:color w:val="4A6B25"/>
          <w:sz w:val="20"/>
        </w:rPr>
        <w:t xml:space="preserve">2. </w:t>
      </w:r>
      <w:r>
        <w:rPr>
          <w:rFonts w:ascii="Calibri" w:hAnsi="Calibri"/>
          <w:b w:val="0"/>
          <w:color w:val="3A4A28"/>
          <w:sz w:val="20"/>
        </w:rPr>
        <w:t>62nd consecutive dividend increase (7% hike to $6.44/share annualized) with share buyback program reducing count and amplifying per-share metrics, targeting free cash flow exceeding 100% of net income [1]</w:t>
      </w:r>
    </w:p>
    <w:p>
      <w:pPr>
        <w:spacing w:before="40" w:after="40"/>
        <w:ind w:left="283"/>
      </w:pPr>
      <w:r>
        <w:rPr>
          <w:rFonts w:ascii="Calibri" w:hAnsi="Calibri"/>
          <w:b/>
          <w:color w:val="4A6B25"/>
          <w:sz w:val="20"/>
        </w:rPr>
        <w:t xml:space="preserve">3. </w:t>
      </w:r>
      <w:r>
        <w:rPr>
          <w:rFonts w:ascii="Calibri" w:hAnsi="Calibri"/>
          <w:b w:val="0"/>
          <w:color w:val="3A4A28"/>
          <w:sz w:val="20"/>
        </w:rPr>
        <w:t>Q2 2026 organic revenue growth accelerating to 4.5% with total revenue up 6.1%, suggesting the growth outlook is improving after a sluggish 0.9% full-year 2025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Automotive OEM segment faces structural uncertainty from EV transition, potential tariff escalation, and cyclical production declines that could pressure ITW's largest revenue contributor [1]</w:t>
      </w:r>
    </w:p>
    <w:p>
      <w:pPr>
        <w:spacing w:before="40" w:after="40"/>
        <w:ind w:left="283"/>
      </w:pPr>
      <w:r>
        <w:rPr>
          <w:rFonts w:ascii="Calibri" w:hAnsi="Calibri"/>
          <w:b/>
          <w:color w:val="4A6B25"/>
          <w:sz w:val="20"/>
        </w:rPr>
        <w:t xml:space="preserve">2. </w:t>
      </w:r>
      <w:r>
        <w:rPr>
          <w:rFonts w:ascii="Calibri" w:hAnsi="Calibri"/>
          <w:b w:val="0"/>
          <w:color w:val="3A4A28"/>
          <w:sz w:val="20"/>
        </w:rPr>
        <w:t>Debt-to-equity of 251% with $9.15B debt leaves limited balance sheet buffer — sustained rate elevation or industrial downturn could simultaneously pressure the payout ratio and buyback program [5]</w:t>
      </w:r>
    </w:p>
    <w:p>
      <w:pPr>
        <w:spacing w:before="40" w:after="40"/>
        <w:ind w:left="283"/>
      </w:pPr>
      <w:r>
        <w:rPr>
          <w:rFonts w:ascii="Calibri" w:hAnsi="Calibri"/>
          <w:b/>
          <w:color w:val="4A6B25"/>
          <w:sz w:val="20"/>
        </w:rPr>
        <w:t xml:space="preserve">3. </w:t>
      </w:r>
      <w:r>
        <w:rPr>
          <w:rFonts w:ascii="Calibri" w:hAnsi="Calibri"/>
          <w:b w:val="0"/>
          <w:color w:val="3A4A28"/>
          <w:sz w:val="20"/>
        </w:rPr>
        <w:t>Revenue 5-year CAGR of 3.3% and forward PEG implied at ~4x suggest the stock's premium 22.11x forward multiple is pricing in execution perfection on a low-organic-growth industrial portfolio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ITW's core business involves manufacturing and selling physical industrial products — welding equipment, food service machinery, automotive fasteners, construction products, polymers, and test instruments — that require tangible manufacturing, engineering, and hands-on application [1]. AI cannot substitute for physical welding equipment, commercial ovens, automotive clip fasteners, or construction sealants. The company's competitive moat is rooted in application engineering, customer relationships, deep domain expertise across 88 specialized divisions, and proprietary manufacturing processes that AI structurally cannot replicate. AI-driven industrial automation may actually increase demand for some ITW product categories (test &amp; measurement, electronics). Analysts do not flag AI as a material disruption risk for ITW's diversified industrial portfolio. AI Opportunity (0/1): No quantifiable AI-related revenue. ITW is exploring AI applications through the 80/20 framework to identify high-ROI projects within divisions, but no specific products shipping or revenue contributions have been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Illinois Tool Works Q2 2026 Results — Revenue $4.30B (+6.1%), GAAP EPS $2.84, raised FY2026 guidance, SEC/investor.itw.com, July 2026</w:t>
      </w:r>
    </w:p>
    <w:p>
      <w:pPr>
        <w:spacing w:before="20" w:after="20"/>
        <w:ind w:left="170"/>
      </w:pPr>
      <w:r>
        <w:rPr>
          <w:rFonts w:ascii="Calibri" w:hAnsi="Calibri"/>
          <w:b/>
          <w:color w:val="4A6B25"/>
          <w:sz w:val="15"/>
        </w:rPr>
        <w:t xml:space="preserve">2. </w:t>
      </w:r>
      <w:r>
        <w:rPr>
          <w:rFonts w:ascii="Calibri" w:hAnsi="Calibri"/>
          <w:b w:val="0"/>
          <w:color w:val="3A4A28"/>
          <w:sz w:val="17"/>
        </w:rPr>
        <w:t>Illinois Tool Works Q1 2026 Results and FY2026 Guidance — Revenue $4.02B (+5%), EPS $2.66 (+12%), organic growth 3-4%, SEC, April 2026</w:t>
      </w:r>
    </w:p>
    <w:p>
      <w:pPr>
        <w:spacing w:before="20" w:after="20"/>
        <w:ind w:left="170"/>
      </w:pPr>
      <w:r>
        <w:rPr>
          <w:rFonts w:ascii="Calibri" w:hAnsi="Calibri"/>
          <w:b/>
          <w:color w:val="4A6B25"/>
          <w:sz w:val="15"/>
        </w:rPr>
        <w:t xml:space="preserve">3. </w:t>
      </w:r>
      <w:r>
        <w:rPr>
          <w:rFonts w:ascii="Calibri" w:hAnsi="Calibri"/>
          <w:b w:val="0"/>
          <w:color w:val="3A4A28"/>
          <w:sz w:val="17"/>
        </w:rPr>
        <w:t>Illinois Tool Works AI Strategy and Culture — 80/20 as AI filter, decentralized 88-division model, CEO O'Herlihy 35-year career, Klover.ai/TheOrg, 2025-2026</w:t>
      </w:r>
    </w:p>
    <w:p>
      <w:pPr>
        <w:spacing w:before="20" w:after="20"/>
        <w:ind w:left="170"/>
      </w:pPr>
      <w:r>
        <w:rPr>
          <w:rFonts w:ascii="Calibri" w:hAnsi="Calibri"/>
          <w:b/>
          <w:color w:val="4A6B25"/>
          <w:sz w:val="15"/>
        </w:rPr>
        <w:t xml:space="preserve">4. </w:t>
      </w:r>
      <w:r>
        <w:rPr>
          <w:rFonts w:ascii="Calibri" w:hAnsi="Calibri"/>
          <w:b w:val="0"/>
          <w:color w:val="3A4A28"/>
          <w:sz w:val="17"/>
        </w:rPr>
        <w:t>Illinois Tool Works ESG and Insider Transactions — MSCI ESG Rating A, director Smith $1.7M buy, Santi $48.7M sale, KnowESG/Yahoo Finance,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ITW key statistics, dividend history 62 years, financial ratios,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