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KO</w:t>
      </w:r>
      <w:r>
        <w:rPr>
          <w:rFonts w:ascii="Calibri" w:hAnsi="Calibri"/>
          <w:b/>
          <w:color w:val="1A2010"/>
          <w:sz w:val="40"/>
        </w:rPr>
        <w:t xml:space="preserve">  The Coca-Cola Company</w:t>
      </w:r>
    </w:p>
    <w:p>
      <w:pPr>
        <w:spacing w:after="120"/>
      </w:pPr>
      <w:r>
        <w:rPr>
          <w:rFonts w:ascii="Calibri" w:hAnsi="Calibri"/>
          <w:b/>
          <w:color w:val="6E8450"/>
          <w:sz w:val="18"/>
        </w:rPr>
        <w:t>DIVIDEND SLEEVE · 2026-08-16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NYSE · United States</w:t>
      </w:r>
    </w:p>
    <w:p>
      <w:pPr>
        <w:spacing w:after="80"/>
      </w:pPr>
      <w:r>
        <w:rPr>
          <w:rFonts w:ascii="Calibri" w:hAnsi="Calibri"/>
          <w:b w:val="0"/>
          <w:color w:val="3A4A28"/>
          <w:sz w:val="20"/>
        </w:rPr>
        <w:t>The Coca-Cola Company is the world's largest beverage company, manufacturing and marketing a portfolio of over 200 brands including Coca-Cola, Sprite, Fanta, Costa Coffee, Fairlife, BodyArmor, and Topo Chico across more than 200 countries. The company operates a total beverage strategy spanning sparkling soft drinks, water, juice, dairy, coffee, and energy categories, distributed primarily through an independent bottling partner network. Q2 2026 net revenue rose 7% to $13.4B, prompting management to raise full-year organic revenue growth guidance to approximately 5%.</w:t>
      </w:r>
    </w:p>
    <w:p>
      <w:r>
        <w:rPr>
          <w:rFonts w:ascii="Calibri" w:hAnsi="Calibri"/>
          <w:b/>
          <w:color w:val="6E8450"/>
          <w:sz w:val="18"/>
        </w:rPr>
        <w:t>65,900 Employees · https://www.coca-colacompany.com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Coca-Cola has executed multiple successful launches and category expansions over the last 5 years — BodyArmor acquisition (2021) taking share in sports drinks, continued Fairlife dairy protein growth, Topo Chico expansion, and zero-sugar reformulations driving volume recovery — but this reflects portfolio extension rather than a transformative pivot [1][3]. AI Deployment (2/2): Coca-Cola has deployed AI at scale with measurable results — Project Fizzion, co-developed with Adobe, uses AI design intelligence (StyleID) to produce localized campaign variations up to 10x faster than traditional production, and the company has built an AI system managing brand consistency across 200 markets, alongside OpenAI and SAP partnerships for generative AI and enterprise operations [3]. Market Share (2/2): Coca-Cola holds the #1 global position in sparkling soft drinks with roughly 46% category share and leads multiple adjacent categories through its total beverage portfolio [1]. Product Pipeline (1/2): Raised 2026 organic revenue growth guidance to ~5% and EPS growth guidance to 9-10%, with continued category innovation, but no specific next-generation product named with a launch date and quantified revenue visibility [1]. R&amp;D Intensity (1/1): Formal R&amp;D spend is modest relative to revenue as is typical in consumer beverages, but Coca-Cola's innovation investment is concentrated in AI-driven marketing infrastructure and product reformulation at a scale consistent with industry-leading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Coca-Cola's stated purpose — 'Refresh the world. Make it matter,' paired with a long-standing water replenishment program — is clear but reads as largely interchangeable with peer consumer-staples messaging around sustainability and refreshment; it identifies what the company does without strongly differentiating from competitors [4]. Community Impact (1/2): The Coca-Cola Foundation funds water stewardship and community programs, but a D.C. Court of Appeals ruling allows a greenwashing lawsuit (Earth Island Institute) to proceed, alleging the company overstates its sustainability work while understating its plastic packaging impact — directly undercutting the credibility of the 'make a difference' claim [4]. Employee Retention (0/2): Headcount fell from 79,100 (2023) to 69,700 (2024) to 65,900 (2025), a ~17% reduction over two years attributed to restructuring and AI-driven efficiency — the opposite of retention strength [3]. Insider Buying (0/2): No evidence of meaningful net insider buying was found; the announced CEO transition (James Quincey stepping down, citing the scale of the AI transformation ahead) introduces additional uncertainty with no offsetting insider conviction signal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algorithm, 12 weight units). Coca-Cola shows exceptional profitability with ROE of 42.05% (capped at 1.0) and profit margin of 28.56% (capped at 1.0), both far above target [2]. D/E of 116% is above the 70% target but well inside the 300% floor (score 0.80). Forward P/E of 25.61 is above the 20x target (score 0.86) and PEG of 3.46 exceeds the growth-adjusted comfort zone, though PEG is not a weighted metric for dividend-sleeve stocks. Revenue growth YoY (~6% blended, reflecting Q2's 7% print against raised full-year organic guidance of ~5%) scores 0.87, and 5-year revenue CAGR (~5.5%, from $38.7B in 2021 to $47.9B in 2025) scores 0.70. On dividend metrics, Coca-Cola is a Dividend King with 64 consecutive years of increases and well over 60 years of uninterrupted payments (both capped at 1.0, 2x and 1x weight respectively), a payout ratio of ~65.5% (score 0.575), and a modest ~4.5% 5-year dividend growth CAGR (score 0.75, 2x weight). Liquidity is not a concern: ~18M shares/day at $87.71 is roughly $1.58B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Coca-Cola shows a mixed-to-finite profile under Sinek's lens. The 'Refresh the world' purpose and decades-long water replenishment commitment provide a genuine, partially-lived cause, and CEO James Quincey's willingness to kill underperforming brands (Tab, Zico, VitaminWater lines) while investing in AI transformation shows some courage. But a 17% headcount reduction over two years, a live greenwashing lawsuit undermining the sustainability narrative, shareholders rejecting all 2026 ESG proposals, and a historically 'Cola Wars' competitive posture toward PepsiCo point to a company still substantially optimizing for near-term share and margin rather than playing a fully infinite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Coca-Cola's purpose to 'refresh the world and make a difference,' backed by a long-running water stewardship program with quantified replenishment targets, is more than pure marketing and has shaped specific capital commitments over multiple decades [4]. However, the pending greenwashing lawsuit alleging the company overstates its sustainability impact while underselling its plastic packaging footprint is direct evidence the cause is not fully lived, keeping this below the top tier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Headcount dropped from 79,100 to 65,900 (2023-2025), a ~17% reduction tied to restructuring and AI-driven efficiency programs — a pattern of workforce instability rather than the psychological safety and empowerment Sinek associates with high-trust organizations [3]. No countervailing evidence of exceptional retention or employee-cited mission loyalty was found in this research cycle.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Coca-Cola's decades-long rivalry with PepsiCo has historically been framed in the market and media as the 'Cola Wars' — a share-capture, market-share-driven competitive narrative — with no specific evidence found of management publicly crediting rival strengths as motivation for self-improvement in this research cycle.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Under the 'Total Beverage Company' strategy since 2017, Coca-Cola has expanded well beyond sparkling soft drinks into coffee (Costa acquisition), sports drinks (BodyArmor), dairy protein (Fairlife), and premium water (Topo Chico), and is now restructuring the enterprise around AI [1][3]. These are meaningful, incremental adjacent-category expansions rather than a transformative abandonment of the core carbonated soft drink business, so this scores as evolution rather than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James Quincey has been described as a 'chief zombie killer,' willing to discontinue underperforming brands and reallocate capital even when it costs near-term revenue, and he cited the scale of AI transformation ahead as his own reason for stepping aside so a successor with fresh energy could lead it — an unusual act of putting the company's long-term need ahead of personal tenure [3]. This is one clear example of costly, long-term-oriented leadership behavior, but not yet a demonstrated pattern across multiple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Coca-Cola delivered a strong Q2 2026 with net revenue up 7% to $13.4B, prompting management to raise full-year organic revenue growth guidance to ~5% and comparable EPS growth guidance to 9-10% [1]. Free cash flow guidance was lifted to approximately $12.4B for 2026, and the balance sheet generates elite returns with ROE of 42.05% and profit margin of 28.56% [1][2]. As a 64-year Dividend King with a 2.44% yield and disciplined AI-driven marketing efficiency (Project Fizzion cutting content production time up to 10x), Coca-Cola offers a defensive, AI-resilient compounder whose physical distribution moat cannot be disintermediated by AI [3].</w:t>
      </w:r>
    </w:p>
    <w:p>
      <w:pPr>
        <w:spacing w:after="120"/>
      </w:pPr>
      <w:r>
        <w:rPr>
          <w:rFonts w:ascii="Calibri" w:hAnsi="Calibri"/>
          <w:b w:val="0"/>
          <w:color w:val="3A4A28"/>
          <w:sz w:val="20"/>
        </w:rPr>
        <w:t>The bear case centers on valuation, cause credibility, and organizational stability. Forward P/E of 25.61x and PEG of 3.46 price in more growth than the ~5.5% 5-year revenue CAGR has historically delivered, leaving limited room for multiple expansion [2]. A ~17% headcount reduction since 2023 and an active greenwashing lawsuit (Earth Island Institute, allowed to proceed by the D.C. Court of Appeals) directly undermine the 'make a difference' brand narrative, while shareholders rejected all ESG-related proposals at the 2026 annual meeting, signaling governance friction around sustainability commitments [3][4]. The upcoming CEO transition — Quincey stepping down explicitly because of the scale of AI transformation required — adds execution uncertainty at a pivotal moment, and the Inspire Impact Score of -53 (MISALIGNED, driven by Alcohol and LGBT Activism attributions)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guidance (organic revenue growth ~5%, comparable EPS growth 9-10%, FCF ~$12.4B) suggests continued margin and cash flow expansion into 2027 if AI-driven marketing efficiency sustains momentum [1]</w:t>
      </w:r>
    </w:p>
    <w:p>
      <w:pPr>
        <w:spacing w:before="40" w:after="40"/>
        <w:ind w:left="283"/>
      </w:pPr>
      <w:r>
        <w:rPr>
          <w:rFonts w:ascii="Calibri" w:hAnsi="Calibri"/>
          <w:b/>
          <w:color w:val="4A6B25"/>
          <w:sz w:val="20"/>
        </w:rPr>
        <w:t xml:space="preserve">2. </w:t>
      </w:r>
      <w:r>
        <w:rPr>
          <w:rFonts w:ascii="Calibri" w:hAnsi="Calibri"/>
          <w:b w:val="0"/>
          <w:color w:val="3A4A28"/>
          <w:sz w:val="20"/>
        </w:rPr>
        <w:t>Project Fizzion and the 200-market AI brand management system could materially lower marketing production costs and accelerate localized campaign speed, supporting operating margin expansion beyond the current 31.85% [2][3]</w:t>
      </w:r>
    </w:p>
    <w:p>
      <w:pPr>
        <w:spacing w:before="40" w:after="40"/>
        <w:ind w:left="283"/>
      </w:pPr>
      <w:r>
        <w:rPr>
          <w:rFonts w:ascii="Calibri" w:hAnsi="Calibri"/>
          <w:b/>
          <w:color w:val="4A6B25"/>
          <w:sz w:val="20"/>
        </w:rPr>
        <w:t xml:space="preserve">3. </w:t>
      </w:r>
      <w:r>
        <w:rPr>
          <w:rFonts w:ascii="Calibri" w:hAnsi="Calibri"/>
          <w:b w:val="0"/>
          <w:color w:val="3A4A28"/>
          <w:sz w:val="20"/>
        </w:rPr>
        <w:t>Successful CEO succession that maintains capital discipline and the 'Total Beverage Company' portfolio strategy (Fairlife, BodyArmor, Costa) could re-accelerate organic volume growth beyond the current price/mix-led model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25.61x and PEG of 3.46 price in sustained high-single-digit growth; any deceleration in organic revenue growth from the current ~5-7% pace could trigger meaningful multiple compression [1][2]</w:t>
      </w:r>
    </w:p>
    <w:p>
      <w:pPr>
        <w:spacing w:before="40" w:after="40"/>
        <w:ind w:left="283"/>
      </w:pPr>
      <w:r>
        <w:rPr>
          <w:rFonts w:ascii="Calibri" w:hAnsi="Calibri"/>
          <w:b/>
          <w:color w:val="4A6B25"/>
          <w:sz w:val="20"/>
        </w:rPr>
        <w:t xml:space="preserve">2. </w:t>
      </w:r>
      <w:r>
        <w:rPr>
          <w:rFonts w:ascii="Calibri" w:hAnsi="Calibri"/>
          <w:b w:val="0"/>
          <w:color w:val="3A4A28"/>
          <w:sz w:val="20"/>
        </w:rPr>
        <w:t>Active greenwashing litigation (Earth Island Institute) and shareholder rejection of ESG proposals create ongoing reputational and legal overhang tied directly to the company's core sustainability messaging [4]</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Quincey's departure explicitly tied to the scale of AI transformation ahead means the incoming CEO inherits a compressed timeline to execute an enterprise-wide AI overhaul that has already cut headcount ~17% since 2023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Coca-Cola's core business — manufacturing and distributing physical beverages through an entrenched global bottling network and one of the world's most valuable brands — cannot be substituted by AI; no software tool replaces the physical product, the retail shelf space, or the century of brand equity [1]. Management is explicitly framing AI as a growth enabler rather than a threat: 'Coca-Cola turns to AI marketing as price-led growth slows,' using AI to accelerate content localization and brand management across 200 markets rather than to replace demand [3]. The outgoing CEO's stated reason for departure — the scale of the AI transformation ahead — signals proactive internal adoption rather than defensive vulnerability. AI Opportunity (0/1): Coca-Cola generates efficiency gains from AI (10x faster content production via Project Fizzion) but does not report quantifiable incremental revenue directly attributable to AI products or services, so no tiebreaker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Coca-Cola Reports Second Quarter 2026 Results and Raises Full Year Guidance — investors.coca-colacompany.com, July 2026</w:t>
      </w:r>
    </w:p>
    <w:p>
      <w:pPr>
        <w:spacing w:before="20" w:after="20"/>
        <w:ind w:left="170"/>
      </w:pPr>
      <w:r>
        <w:rPr>
          <w:rFonts w:ascii="Calibri" w:hAnsi="Calibri"/>
          <w:b/>
          <w:color w:val="4A6B25"/>
          <w:sz w:val="15"/>
        </w:rPr>
        <w:t xml:space="preserve">2. </w:t>
      </w:r>
      <w:r>
        <w:rPr>
          <w:rFonts w:ascii="Calibri" w:hAnsi="Calibri"/>
          <w:b w:val="0"/>
          <w:color w:val="3A4A28"/>
          <w:sz w:val="17"/>
        </w:rPr>
        <w:t>Coca-Cola (KO) Statistics &amp; Valuation — StockAnalysis.com, GuruFocus, Yahoo Finance Key Statistics,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Coca-Cola AI Transformation, CEO Transition, Headcount Trends — PYMNTS, CNBC, Forbes, Marketing Dive, accessed July-August 2026</w:t>
      </w:r>
    </w:p>
    <w:p>
      <w:pPr>
        <w:spacing w:before="20" w:after="20"/>
        <w:ind w:left="170"/>
      </w:pPr>
      <w:r>
        <w:rPr>
          <w:rFonts w:ascii="Calibri" w:hAnsi="Calibri"/>
          <w:b/>
          <w:color w:val="4A6B25"/>
          <w:sz w:val="15"/>
        </w:rPr>
        <w:t xml:space="preserve">4. </w:t>
      </w:r>
      <w:r>
        <w:rPr>
          <w:rFonts w:ascii="Calibri" w:hAnsi="Calibri"/>
          <w:b w:val="0"/>
          <w:color w:val="3A4A28"/>
          <w:sz w:val="17"/>
        </w:rPr>
        <w:t>Coca-Cola Greenwashing Lawsuit and 2026 Shareholder ESG Vote — ESG Dive, TipRanks, SEC DEF 14A, accessed 2026</w:t>
      </w:r>
    </w:p>
    <w:p>
      <w:pPr>
        <w:spacing w:before="20" w:after="20"/>
        <w:ind w:left="170"/>
      </w:pPr>
      <w:r>
        <w:rPr>
          <w:rFonts w:ascii="Calibri" w:hAnsi="Calibri"/>
          <w:b/>
          <w:color w:val="4A6B25"/>
          <w:sz w:val="15"/>
        </w:rPr>
        <w:t xml:space="preserve">5. </w:t>
      </w:r>
      <w:r>
        <w:rPr>
          <w:rFonts w:ascii="Calibri" w:hAnsi="Calibri"/>
          <w:b w:val="0"/>
          <w:color w:val="3A4A28"/>
          <w:sz w:val="17"/>
        </w:rPr>
        <w:t>Coca-Cola Dividend History — NAI 500, Dividend.com, 64 Consecutive Years of Increases,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