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LGN</w:t>
      </w:r>
      <w:r>
        <w:rPr>
          <w:rFonts w:ascii="Calibri" w:hAnsi="Calibri"/>
          <w:b/>
          <w:color w:val="1A2010"/>
          <w:sz w:val="40"/>
        </w:rPr>
        <w:t xml:space="preserve">  Legence Corp.</w:t>
      </w:r>
    </w:p>
    <w:p>
      <w:pPr>
        <w:spacing w:after="120"/>
      </w:pPr>
      <w:r>
        <w:rPr>
          <w:rFonts w:ascii="Calibri" w:hAnsi="Calibri"/>
          <w:b/>
          <w:color w:val="6E8450"/>
          <w:sz w:val="18"/>
        </w:rPr>
        <w:t>GROWTH SLEEVE · 2026-08-09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Services · NASDAQ · United States</w:t>
      </w:r>
    </w:p>
    <w:p>
      <w:pPr>
        <w:spacing w:after="80"/>
      </w:pPr>
      <w:r>
        <w:rPr>
          <w:rFonts w:ascii="Calibri" w:hAnsi="Calibri"/>
          <w:b w:val="0"/>
          <w:color w:val="3A4A28"/>
          <w:sz w:val="20"/>
        </w:rPr>
        <w:t>Legence Corp. is a leading integrated provider of engineering, consulting, installation, and maintenance services for mission-critical HVAC and MEP systems. Founded in 1914 as Therma Holdings, acquired by Blackstone in 2020, rebranded as Legence, and IPO'd on NASDAQ in September 2025 at $28/share. The company positions itself as an Energy Transition Accelerator, serving data centers, life sciences, healthcare, and commercial buildings across the United States.</w:t>
      </w:r>
    </w:p>
    <w:p>
      <w:r>
        <w:rPr>
          <w:rFonts w:ascii="Calibri" w:hAnsi="Calibri"/>
          <w:b/>
          <w:color w:val="6E8450"/>
          <w:sz w:val="18"/>
        </w:rPr>
        <w:t>7,000 Employees · https://www.wearelegence.com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Legence has executed a transformative roll-up strategy under Blackstone ownership since 2020, consolidating from Therma Holdings into a national engineering platform through multiple acquisitions including the significant Bowers acquisition that contributed to 105% YoY revenue growth in Q1 2026 [1][2]. The IPO at $28/share in September 2025 and subsequent growth to a $5B+ market cap represents a genuine business model transformation. AI Deployment (0/2): No evidence of AI-powered products shipping or quantified AI-driven savings; CIO Mike Heuer has AI consulting background but no commercial AI products have been announced [3]. Market Share (1/2): Legence is a meaningful player in the fragmented building services market, benefiting from secular tailwinds in data center construction and clean energy retrofits, but is not a category-defining leader — the market remains highly fragmented [1]. Product Pipeline (1/2): The $5.4B backlog (up 104% YoY) provides strong revenue visibility, and the company is positioned to capitalize on data center build-out, life sciences facilities, and energy transition demand, though these are market opportunities rather than proprietary products [1]. R&amp;D Intensity (0/1): Engineering services business with minimal formal R&amp;D spend; innovation comes through operational capabilities and acquisitions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Legence's positioning as an 'Energy Transition Accelerator that eliminates conventional industry barriers and transforms the built environment at unmatched speed and scale' is clear and connects to the larger purpose of sustainability and energy efficiency, but it was adopted during the Blackstone rebrand and has not been tested through crisis or multi-decade consistency [4]. Community Impact (0/2): No evidence of specific charitable programs, foundation, or distinctive community investment beyond standard corporate operations; the company's public materials focus on commercial execution rather than community giving. Employee Retention (1/2): Legence was recognized in U.S. News &amp; World Report's 2025-2026 Best Companies to Work For list, and subsidiary A.O. Reed ranked #5 as a Top Workplace in San Diego [3]. However, Glassdoor reviews present a mixed picture with some employees citing concerns about PTO policies, healthcare costs, and departures of top performers. Insider Buying (0/2): No evidence of net insider buying; Blackstone remains the dominant shareholder following the September 2025 IPO, and no executive insider purchases were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$1.038B represented 105% YoY growth (organic growth ~57% excluding Bowers acquisition), with the company swinging to net income of $16.1M vs. a $21.2M loss in the year-ago quarter [1][2]. Balance sheet shows total debt of $1.03B (including a new $200M term loan for acquisitions) against total assets of $3.48B, resulting in a manageable D/E ratio of ~52% [2]. Net leverage improved to 1.8x from 2.9x at IPO. However, TTM net income remains negative at -$59.8M (ROE negative), and profit margins are thin at ~1.5% on a quarterly basis [5]. FCF exceeded $100M with 85%+ EBITDA conversion. Full-year 2026 guidance raised to revenue $4.1-4.3B and EBITDA $470-490M, but the path to sustained profitability remains early-stage.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Legence operates with a mixed infinite/finite mindset. The energy transition purpose is genuine and connects to a larger cause, but the company's identity has been largely shaped by Blackstone's private equity strategy of acquisition-driven growth and IPO monetization — fundamentally a finite game. The rapid roll-up from Therma Holdings to national platform shows strategic flexibility, but it's unclear whether the mission will survive beyond the current ownership cycle. Leadership has demonstrated competence but not the kind of courageous, long-term sacrifice that distinguishes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Legence's positioning around energy transition and sustainable building infrastructure connects to a genuine and enduring purpose — reducing energy consumption in the built environment, which accounts for ~40% of global carbon emissions [4]. The cause is specific and differentiating. However, it was adopted during the Blackstone-era rebrand from Therma Holdings, has not been tested through crisis or leadership transition, and the company's roots are in commercial HVAC contracting, not mission-driven sustainability. The cause is real but not yet validated by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Legence earned recognition on U.S. News &amp; World Report's 2025-2026 Best Companies to Work For list, and the company emphasizes cultivating a workplace where people feel 'supported, empowered, challenged, and inspired' [3]. However, Glassdoor reviews present a mixed picture — some employees praise the culture while others cite concerns about healthcare costs, PTO policies, and departures of top performers during the rapid acquisition integration phase. The company has grown from ~3,000 to ~7,000 employees through acquisitions, making cultural cohesion an ongoing challenge.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Legence's leadership acknowledges competitors' strengths or frames competition as motivation to improve. The company's competitive language focuses on market share consolidation and being 'the leading integrated provider' — a finite framing about winning rather than learning [4]. The roll-up acquisition strategy inherently treats competitors as targets for absorption rather than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Legence has evolved significantly from Therma Holdings' regional HVAC contracting roots to a national engineering and sustainability platform serving diverse end markets including data centers, life sciences, and clean energy retrofits [4]. The Bowers acquisition and broadened service offering demonstrate willingness to expand beyond the legacy business. However, these moves were incremental and Blackstone-directed rather than transformative pivots driven by a Just Cause — the company has not fundamentally reinvented itself in the way Sinek envisions.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Jeffrey Sprau has led the company through a significant transformation — IPO execution, major acquisition integration (Bowers), and raised full-year guidance despite macroeconomic uncertainty [1]. Taking on $200M in new debt for the Bowers acquisition while newly public demonstrates some strategic courage. However, these decisions are largely supported by Blackstone's financial backing and the favorable market tailwind of data center construction, reducing the true cost of these bets. No evidence of sacrificing near-term earnings for long-term mission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Legence is a compelling infrastructure growth story riding three powerful secular tailwinds: AI-driven data center construction, clean energy building retrofits, and life sciences facility expansion. Q1 2026 revenue surged 105% YoY to $1.038B (organic growth ~57%), the company swung to profitability with $16.1M net income, and management raised full-year 2026 guidance to $4.1-4.3B revenue and $470-490M EBITDA [1][2]. The $5.4B backlog (up 104% YoY) provides exceptional forward visibility, net leverage improved to 1.8x, and FCF exceeded $100M with 85%+ EBITDA conversion. The stock has risen from its $28 IPO price to ~$65, reflecting the market's recognition of Legence's positioning as a critical enabler of the data center and energy transition build-out.</w:t>
      </w:r>
    </w:p>
    <w:p>
      <w:pPr>
        <w:spacing w:after="120"/>
      </w:pPr>
      <w:r>
        <w:rPr>
          <w:rFonts w:ascii="Calibri" w:hAnsi="Calibri"/>
          <w:b w:val="0"/>
          <w:color w:val="3A4A28"/>
          <w:sz w:val="20"/>
        </w:rPr>
        <w:t>The bear case centers on execution risk in a rapid roll-up strategy and Blackstone's eventual exit. Legence acquired Bowers using $200M in additional debt, and while integration is progressing, the company's 105% revenue growth is roughly half acquisition-driven [1]. TTM net income remains negative at -$59.8M, and profit margins are thin at ~1.5% — the path from EBITDA profitability to sustained net income profitability is not guaranteed [5]. The stock has fallen ~39% from its May 2026 all-time high of $107 to ~$65, suggesting the market is questioning whether the premium for a newly public, PE-backed engineering services rollup is warranted. Blackstone's controlling stake creates overhang risk as the PE firm eventually monetizes its position, and the company's operating history as a public entity is measured in months, not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construction boom driven by AI infrastructure demand creating multi-year tailwind for Legence's HVAC and MEP installation services, with $5.4B backlog providing visibility through 2027+</w:t>
      </w:r>
    </w:p>
    <w:p>
      <w:pPr>
        <w:spacing w:before="40" w:after="40"/>
        <w:ind w:left="283"/>
      </w:pPr>
      <w:r>
        <w:rPr>
          <w:rFonts w:ascii="Calibri" w:hAnsi="Calibri"/>
          <w:b/>
          <w:color w:val="4A6B25"/>
          <w:sz w:val="20"/>
        </w:rPr>
        <w:t xml:space="preserve">2. </w:t>
      </w:r>
      <w:r>
        <w:rPr>
          <w:rFonts w:ascii="Calibri" w:hAnsi="Calibri"/>
          <w:b w:val="0"/>
          <w:color w:val="3A4A28"/>
          <w:sz w:val="20"/>
        </w:rPr>
        <w:t>Continued Bowers integration and potential additional acquisitions expanding the national platform, with management targeting sustained organic growth of 20%+ alongside bolt-on M&amp;A</w:t>
      </w:r>
    </w:p>
    <w:p>
      <w:pPr>
        <w:spacing w:before="40" w:after="40"/>
        <w:ind w:left="283"/>
      </w:pPr>
      <w:r>
        <w:rPr>
          <w:rFonts w:ascii="Calibri" w:hAnsi="Calibri"/>
          <w:b/>
          <w:color w:val="4A6B25"/>
          <w:sz w:val="20"/>
        </w:rPr>
        <w:t xml:space="preserve">3. </w:t>
      </w:r>
      <w:r>
        <w:rPr>
          <w:rFonts w:ascii="Calibri" w:hAnsi="Calibri"/>
          <w:b w:val="0"/>
          <w:color w:val="3A4A28"/>
          <w:sz w:val="20"/>
        </w:rPr>
        <w:t>Margin expansion as the company scales past IPO transition costs and achieves operating leverage on the $4.1-4.3B revenue base, potentially reaching 3-5% net margins by FY2027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Blackstone overhang: controlling shareholder will eventually sell down its stake, creating sustained selling pressure on a stock with only 76.87M shares outstanding and limited public float</w:t>
      </w:r>
    </w:p>
    <w:p>
      <w:pPr>
        <w:spacing w:before="40" w:after="40"/>
        <w:ind w:left="283"/>
      </w:pPr>
      <w:r>
        <w:rPr>
          <w:rFonts w:ascii="Calibri" w:hAnsi="Calibri"/>
          <w:b/>
          <w:color w:val="4A6B25"/>
          <w:sz w:val="20"/>
        </w:rPr>
        <w:t xml:space="preserve">2. </w:t>
      </w:r>
      <w:r>
        <w:rPr>
          <w:rFonts w:ascii="Calibri" w:hAnsi="Calibri"/>
          <w:b w:val="0"/>
          <w:color w:val="3A4A28"/>
          <w:sz w:val="20"/>
        </w:rPr>
        <w:t>Integration risk from rapid roll-up strategy — the Bowers acquisition roughly doubled the company, and cultural integration of ~7,000 employees across dozens of acquired entities is complex and could disrupt operational execution</w:t>
      </w:r>
    </w:p>
    <w:p>
      <w:pPr>
        <w:spacing w:before="40" w:after="40"/>
        <w:ind w:left="283"/>
      </w:pPr>
      <w:r>
        <w:rPr>
          <w:rFonts w:ascii="Calibri" w:hAnsi="Calibri"/>
          <w:b/>
          <w:color w:val="4A6B25"/>
          <w:sz w:val="20"/>
        </w:rPr>
        <w:t xml:space="preserve">3. </w:t>
      </w:r>
      <w:r>
        <w:rPr>
          <w:rFonts w:ascii="Calibri" w:hAnsi="Calibri"/>
          <w:b w:val="0"/>
          <w:color w:val="3A4A28"/>
          <w:sz w:val="20"/>
        </w:rPr>
        <w:t>Margin fragility: net profit margins of ~1.5% leave minimal buffer for cost overruns on large projects, labor inflation in skilled trades, or any slowdown in the data center construction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Legence's core business — engineering, fabricating, and installing complex HVAC, process piping, and MEP systems in mission-critical buildings — is structurally immune to AI disruption [4]. Physical installation of mechanical and electrical systems in data centers, hospitals, and life sciences facilities requires skilled tradespeople, site-specific engineering judgment, and hands-on construction work that AI cannot substitute. The company is actually a net beneficiary of AI expansion: data centers require massive HVAC and cooling infrastructure, and the AI-driven data center construction boom directly increases demand for Legence's core services [1]. Regulatory requirements for building systems, safety codes, and inspection processes further protect the business from digital displacement. AI Opportunity (0/1): No evidence of AI-generated revenue; the company has not announced AI-powered products or services, though AI-driven design tools may improve engineering efficiency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Legence Corp Q1 2026 Earnings Call Transcript — Motley Fool / Yahoo Finance, May 14, 2026</w:t>
      </w:r>
    </w:p>
    <w:p>
      <w:pPr>
        <w:spacing w:before="20" w:after="20"/>
        <w:ind w:left="170"/>
      </w:pPr>
      <w:r>
        <w:rPr>
          <w:rFonts w:ascii="Calibri" w:hAnsi="Calibri"/>
          <w:b/>
          <w:color w:val="4A6B25"/>
          <w:sz w:val="15"/>
        </w:rPr>
        <w:t xml:space="preserve">2. </w:t>
      </w:r>
      <w:r>
        <w:rPr>
          <w:rFonts w:ascii="Calibri" w:hAnsi="Calibri"/>
          <w:b w:val="0"/>
          <w:color w:val="3A4A28"/>
          <w:sz w:val="17"/>
        </w:rPr>
        <w:t>Legence Corp Q1 2026 10-Q Filing — SEC /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Legence Leadership, Careers, and Best Companies Recognition — wearelegence.com, Glassdoor, U.S. News, 2025-2026</w:t>
      </w:r>
    </w:p>
    <w:p>
      <w:pPr>
        <w:spacing w:before="20" w:after="20"/>
        <w:ind w:left="170"/>
      </w:pPr>
      <w:r>
        <w:rPr>
          <w:rFonts w:ascii="Calibri" w:hAnsi="Calibri"/>
          <w:b/>
          <w:color w:val="4A6B25"/>
          <w:sz w:val="15"/>
        </w:rPr>
        <w:t xml:space="preserve">4. </w:t>
      </w:r>
      <w:r>
        <w:rPr>
          <w:rFonts w:ascii="Calibri" w:hAnsi="Calibri"/>
          <w:b w:val="0"/>
          <w:color w:val="3A4A28"/>
          <w:sz w:val="17"/>
        </w:rPr>
        <w:t>Legence IPO Prospectus and Company Overview — Renaissance Capital, Capital.com, September 2025</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LGN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