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LILAK</w:t>
      </w:r>
      <w:r>
        <w:rPr>
          <w:rFonts w:ascii="Calibri" w:hAnsi="Calibri"/>
          <w:b/>
          <w:color w:val="1A2010"/>
          <w:sz w:val="40"/>
        </w:rPr>
        <w:t xml:space="preserve">  Liberty Latin America Ltd.</w:t>
      </w:r>
    </w:p>
    <w:p>
      <w:pPr>
        <w:spacing w:after="120"/>
      </w:pPr>
      <w:r>
        <w:rPr>
          <w:rFonts w:ascii="Calibri" w:hAnsi="Calibri"/>
          <w:b/>
          <w:color w:val="6E8450"/>
          <w:sz w:val="18"/>
        </w:rPr>
        <w:t>GROWTH SLEEVE · 2026-08-10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Bermuda</w:t>
      </w:r>
    </w:p>
    <w:p>
      <w:pPr>
        <w:spacing w:after="80"/>
      </w:pPr>
      <w:r>
        <w:rPr>
          <w:rFonts w:ascii="Calibri" w:hAnsi="Calibri"/>
          <w:b w:val="0"/>
          <w:color w:val="3A4A28"/>
          <w:sz w:val="20"/>
        </w:rPr>
        <w:t>Liberty Latin America is a leading telecommunications company operating in over 20 countries across Latin America and the Caribbean. The company provides residential and business services including broadband internet, video, telephony, and mobile services through brands including Flow, Liberty, and BTC. Formed in 2018 as a spin-off from Liberty Global, and acquired AT&amp;T's Latin American wireless operations in 2020. Headquartered in Denver, Colorado with operational headquarters in Miami.</w:t>
      </w:r>
    </w:p>
    <w:p>
      <w:r>
        <w:rPr>
          <w:rFonts w:ascii="Calibri" w:hAnsi="Calibri"/>
          <w:b/>
          <w:color w:val="6E8450"/>
          <w:sz w:val="18"/>
        </w:rPr>
        <w:t>10,000 Employees · https://www.lla.com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Latin America completed the acquisition and integration of AT&amp;T's Latin American wireless operations in 2020, expanding its mobile footprint significantly, but this was a scale acquisition rather than a transformative business model innovation [1]. Network investments in fiber and broadband expansion are incremental improvements to the existing cable/telecom model. AI Deployment (0/2): No AI-powered products shipping or specific AI-driven cost savings reported. SVP Ray Collins acknowledged AI as an important emerging technology but the company remains in early awareness stage with no quantified AI deployment results [3]. Market Share (1/2): Leading cable and broadband provider in specific Caribbean markets including Jamaica, Puerto Rico, Panama, and the Bahamas, with meaningful regional positions. Q2 2026 delivered 45,000 postpaid and broadband net adds demonstrating continued subscriber acquisition [1][2]. Product Pipeline (1/2): Ongoing fiber-to-the-home expansion and 5G/Edge computing initiatives underway, but specific product launch timelines and revenue visibility are vague. Q1 2026 saw 50,000 postpaid net additions across all segments [2]. R&amp;D Intensity (0/1): As a telecom operator, R&amp;D spending is minimal; capital expenditure on network infrastructure serves as the primary investment vehicle but does not qualify as R&amp;D intensity above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Latin America's stated purpose centers on connecting communities across Latin America and the Caribbean through telecommunications services. The mission is generic and interchangeable with any regional telecom operator — 'delivering value to customers and shareholders' language without distinctive articulation of a deeper purpose [3]. Community Impact (1/2): The company has published annual ESG reports since 2021, partnered with solar companies in Barbados to reduce carbon emissions, and played a critical role in post-hurricane infrastructure rebuilding in Puerto Rico and the Caribbean, demonstrating genuine community engagement beyond pure profit motive [4]. Employee Retention (0/2): With approximately 10,000 employees across 20+ countries, no specific retention data, average tenure figures, or voluntary turnover metrics are publicly available. CEO Balan Nair's 8+ year tenure provides leadership continuity but no organization-wide data exists.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Liberty Latin America carries the heavy leverage typical of capital-intensive telecom operators with D/E of 469%, well above the 300% floor, reflecting the debt-funded acquisition strategy of acquiring AT&amp;T Latin America and regional network buildouts [5]. ROE of -34.9% and profit margin of -16.6% reflect the company's inability to generate positive earnings despite $4.43B TTM revenue, with a net loss of $734.4M driven by high interest expense and depreciation on the acquired asset base [1][2]. Forward P/E of 12.19 is a bright spot, suggesting analysts expect a path to profitability. Revenue has been essentially flat at -0.8% YoY with a modest 3.2% 5-year CAGR, reflecting mature Caribbean/LatAm telecom markets with limited organic growth [5]. Scored on: D/E (0.0), ROE (0.0, 2x), Rev Growth YoY (0.64), Rev Growth 5yr CAGR (0.55, 2x), Forward P/E (1.0), Profit Margin (0.0). Forward PEG excluded. Weighted sum 2.74/8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Latin America operates as a financial engineering-driven telecom consolidator rather than a purpose-driven infinite game player. The company was created through corporate spin-off from Liberty Global and grew through debt-funded acquisitions, optimizing for scale and synergies rather than advancing a compelling vision of a connected future. CEO Nair's 8+ year tenure provides stability, and the company showed resilience rebuilding Caribbean infrastructure post-hurricanes, but the fundamental strategy remains financially motivated telecom consolidation.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Liberty Latin America's purpose of connecting communities across Latin America and the Caribbean is genuine in its impact but shallow in its articulation — it exists primarily as corporate positioning rather than a deeply held cause that shapes strategic decisions [3]. The company was created via financial engineering (spin-off from Liberty Global) and grew through acquisitions (AT&amp;T Latin America), suggesting the driving force is scale and financial returns rather than a durable vision of a connected future. No evidence that the purpose has survived tests of adversity beyond standard hurricane recovery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Balan Nair has provided 8+ years of leadership continuity since the company's formation, and the executive team has been relatively stable. Operating across 20+ countries with 10,000 employees requires meaningful organizational trust and delegation. However, no specific evidence of exceptional trust culture, employee empowerment programs, or below-average turnover that would distinguish Liberty Latin America from a typical multi-national telecom operator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Liberty Latin America competes against Claro (America Movil), Digicel, and other regional operators in a standard market share competition. Competitive language in earnings calls focuses on subscriber net adds and market share metrics — the hallmarks of a finite competitive mindset [1][2]. No evidence of management publicly acknowledging competitors' strengths as motivation for self-improvement or framing competition as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Latin America has demonstrated incremental flexibility through its evolution from a Liberty Global subsidiary to an independent public company, and through the acquisition and integration of AT&amp;T's Latin American operations, which added mobile capabilities to its cable-centric portfolio [1]. However, these changes were scale-driven additions to the same fundamental telecom business model, not transformative pivots that redefined the company. The business today looks fundamentally similar to 2018 — larger, but not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Balan Nair invested in rebuilding network infrastructure in Puerto Rico and Caribbean markets following devastating hurricanes, maintaining service commitment in challenging operating environments [4]. The company also completed the complex integration of AT&amp;T's Latin American wireless operations during COVID-19 pandemic disruptions. However, the $500M preferred stock issuance in Q1 2026 and persistent negative earnings suggest financial engineering over courageous long-term investment, and there are no examples of walking away from profitable but misaligned activities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Latin America provides essential telecommunications infrastructure across 20+ Caribbean and Latin American markets, generating $4.43B TTM revenue with growing subscriber momentum — 45,000 postpaid and broadband net adds in Q2 2026 and 50,000 in Q1 2026 [1][2]. At $8.39 per share with a forward P/E of 12.19, the stock is valued at a discount to developed-market telecom peers, reflecting the risk premium on Caribbean/LatAm operations. Q2 2026 operating income of $181M versus -$333M in Q2 2025 demonstrates meaningful operational improvement, and the company's leading positions in Jamaica, Puerto Rico, Panama, and other markets provide recurring revenue stability.</w:t>
      </w:r>
    </w:p>
    <w:p>
      <w:pPr>
        <w:spacing w:after="120"/>
      </w:pPr>
      <w:r>
        <w:rPr>
          <w:rFonts w:ascii="Calibri" w:hAnsi="Calibri"/>
          <w:b w:val="0"/>
          <w:color w:val="3A4A28"/>
          <w:sz w:val="20"/>
        </w:rPr>
        <w:t>The bear case centers on Liberty Latin America's extreme leverage (D/E 469%), persistent negative earnings (-$734M net loss on $4.43B revenue), and limited organic growth (-0.8% YoY revenue) in mature telecom markets [5]. The debt-funded acquisition strategy has failed to generate positive returns, with ROE of -34.9% indicating the company is destroying shareholder value. Revenue growth has stagnated at a ~3.2% 5-year CAGR despite the AT&amp;T Latin America acquisition, suggesting limited pricing power in competitive Caribbean/LatAm markets. The $500M preferred stock issuance in Q1 2026 signals ongoing capital needs, and FX exposure across 20+ countries creates additional earnings volatility [1]. The analyst consensus price target of $6.70 implies 20% downside from current levels, reflecting skepticism about the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Operational leverage from subscriber growth momentum — 95,000 combined postpaid and broadband net adds in H1 2026 could drive margin expansion as fixed-cost network infrastructure is better utilized</w:t>
      </w:r>
    </w:p>
    <w:p>
      <w:pPr>
        <w:spacing w:before="40" w:after="40"/>
        <w:ind w:left="283"/>
      </w:pPr>
      <w:r>
        <w:rPr>
          <w:rFonts w:ascii="Calibri" w:hAnsi="Calibri"/>
          <w:b/>
          <w:color w:val="4A6B25"/>
          <w:sz w:val="20"/>
        </w:rPr>
        <w:t xml:space="preserve">2. </w:t>
      </w:r>
      <w:r>
        <w:rPr>
          <w:rFonts w:ascii="Calibri" w:hAnsi="Calibri"/>
          <w:b w:val="0"/>
          <w:color w:val="3A4A28"/>
          <w:sz w:val="20"/>
        </w:rPr>
        <w:t>Fiber-to-the-home expansion across Caribbean markets enabling higher ARPU broadband tiers and reducing churn, supported by increasing demand for bandwidth from AI applications and streaming</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value in Caribbean/LatAm telecom consolidation as larger operators (T-Mobile, America Movil) seek regional scale, making LILAK an acquisition target at a premium to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469% and persistent net losses create refinancing risk — rising interest rates would further pressure the already negative earnings profile and could threaten debt covenant compliance</w:t>
      </w:r>
    </w:p>
    <w:p>
      <w:pPr>
        <w:spacing w:before="40" w:after="40"/>
        <w:ind w:left="283"/>
      </w:pPr>
      <w:r>
        <w:rPr>
          <w:rFonts w:ascii="Calibri" w:hAnsi="Calibri"/>
          <w:b/>
          <w:color w:val="4A6B25"/>
          <w:sz w:val="20"/>
        </w:rPr>
        <w:t xml:space="preserve">2. </w:t>
      </w:r>
      <w:r>
        <w:rPr>
          <w:rFonts w:ascii="Calibri" w:hAnsi="Calibri"/>
          <w:b w:val="0"/>
          <w:color w:val="3A4A28"/>
          <w:sz w:val="20"/>
        </w:rPr>
        <w:t>Revenue growth has stagnated at -0.8% YoY in mature Caribbean/LatAm markets where population growth is modest and competitive intensity from Claro and Digicel limits pricing power</w:t>
      </w:r>
    </w:p>
    <w:p>
      <w:pPr>
        <w:spacing w:before="40" w:after="40"/>
        <w:ind w:left="283"/>
      </w:pPr>
      <w:r>
        <w:rPr>
          <w:rFonts w:ascii="Calibri" w:hAnsi="Calibri"/>
          <w:b/>
          <w:color w:val="4A6B25"/>
          <w:sz w:val="20"/>
        </w:rPr>
        <w:t xml:space="preserve">3. </w:t>
      </w:r>
      <w:r>
        <w:rPr>
          <w:rFonts w:ascii="Calibri" w:hAnsi="Calibri"/>
          <w:b w:val="0"/>
          <w:color w:val="3A4A28"/>
          <w:sz w:val="20"/>
        </w:rPr>
        <w:t>Currency exposure across 20+ Latin American and Caribbean markets introduces significant FX volatility to USD-reported earnings, amplifying the impact of any regional economic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Liberty Latin America's core business — physical telecommunications infrastructure including fiber, cable, and mobile networks across 20+ countries — is structurally protected from AI disruption [3]. AI cannot replace physical broadband connections, cell towers, or submarine cable systems. AI adoption broadly increases demand for bandwidth and connectivity, potentially benefiting telecom infrastructure providers. However, the consumer-facing aspects of the business (customer service, content delivery, billing) face AI-driven automation pressure, and AI-enabled competitors could optimize network operations more efficiently, creating margin pressure. Regulatory frameworks in Caribbean and LatAm markets provide additional protection. AI Opportunity (0/1): No quantifiable AI-derived revenue identified. The company acknowledges AI as an emerging technology reshaping telecom but has not deployed AI products or reported specific AI-driven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Latin America Q2 2026 Earnings Results — SEC Form 8-K, August 5, 2026</w:t>
      </w:r>
    </w:p>
    <w:p>
      <w:pPr>
        <w:spacing w:before="20" w:after="20"/>
        <w:ind w:left="170"/>
      </w:pPr>
      <w:r>
        <w:rPr>
          <w:rFonts w:ascii="Calibri" w:hAnsi="Calibri"/>
          <w:b/>
          <w:color w:val="4A6B25"/>
          <w:sz w:val="15"/>
        </w:rPr>
        <w:t xml:space="preserve">2. </w:t>
      </w:r>
      <w:r>
        <w:rPr>
          <w:rFonts w:ascii="Calibri" w:hAnsi="Calibri"/>
          <w:b w:val="0"/>
          <w:color w:val="3A4A28"/>
          <w:sz w:val="17"/>
        </w:rPr>
        <w:t>Liberty Latin America Q1 2026 Earnings Results and $500M Preferred Stock Announcement — SEC Form 8-K, May 2026</w:t>
      </w:r>
    </w:p>
    <w:p>
      <w:pPr>
        <w:spacing w:before="20" w:after="20"/>
        <w:ind w:left="170"/>
      </w:pPr>
      <w:r>
        <w:rPr>
          <w:rFonts w:ascii="Calibri" w:hAnsi="Calibri"/>
          <w:b/>
          <w:color w:val="4A6B25"/>
          <w:sz w:val="15"/>
        </w:rPr>
        <w:t xml:space="preserve">3. </w:t>
      </w:r>
      <w:r>
        <w:rPr>
          <w:rFonts w:ascii="Calibri" w:hAnsi="Calibri"/>
          <w:b w:val="0"/>
          <w:color w:val="3A4A28"/>
          <w:sz w:val="17"/>
        </w:rPr>
        <w:t>Liberty Latin America Corporate Website, Executive Team, and AI/Technology Strategy — lla.com,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Liberty Latin America ESG Annual Reports and Community Initiatives — lla.com ESG section,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LILAK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