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LNAI</w:t>
      </w:r>
      <w:r>
        <w:rPr>
          <w:rFonts w:ascii="Calibri" w:hAnsi="Calibri"/>
          <w:b/>
          <w:color w:val="1A2010"/>
          <w:sz w:val="40"/>
        </w:rPr>
        <w:t xml:space="preserve">  Lunai Bioworks Inc.</w:t>
      </w:r>
    </w:p>
    <w:p>
      <w:pPr>
        <w:spacing w:after="120"/>
      </w:pPr>
      <w:r>
        <w:rPr>
          <w:rFonts w:ascii="Calibri" w:hAnsi="Calibri"/>
          <w:b/>
          <w:color w:val="6E8450"/>
          <w:sz w:val="18"/>
        </w:rPr>
        <w:t>GROWTH SLEEVE · 2026-08-16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Lunai Bioworks Inc. (formerly Renovaro Inc., and before that Enochian Biosciences) is a pre-clinical, pre-revenue AI-powered drug discovery and biodefense company operating through the RENB, BioSymetrics, and RENC segments. The company uses its Augusta AI platform to pursue CNS disease programs (epilepsy, Parkinson's, Alzheimer's) and, through its BioSymetrics subsidiary, an AI-enabled chemical threat assessment platform for defense and national security applications. The company is presently non-compliant with Nasdaq's $35M market value of listed securities and $2.5M stockholders' equity continued-listing requirements.</w:t>
      </w:r>
    </w:p>
    <w:p>
      <w:r>
        <w:rPr>
          <w:rFonts w:ascii="Calibri" w:hAnsi="Calibri"/>
          <w:b/>
          <w:color w:val="6E8450"/>
          <w:sz w:val="18"/>
        </w:rPr>
        <w:t>https://www.lunaibioworks.com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company rebranded from Enochian Biosciences to Renovaro to Lunai Bioworks, pivoting from HIV immunotherapy toward AI-powered drug discovery and biodefense, and its BioSymetrics subsidiary secured its first revenue-generating, multi-year commercial defense collaboration in April 2026 for an AI-enabled chemical threat assessment platform — a genuinely new revenue stream, though the repeated corporate identity changes read partly as narrative-chasing amid financial distress [2][3]. AI Deployment (2/2): The Augusta AI platform is deployed against specific CNS programs (epilepsy, Parkinson's, Alzheimer's), and the BioSymetrics defense collaboration is an actual signed, revenue-generating commercial engagement rather than an unshipped pilot [2]. Market Share (0/2): The company holds no meaningful market share in either AI drug discovery or AI biodefense; it is a sub-$25M market cap company competing against far larger, better-funded platforms. Product Pipeline (1/2): CNS programs and the Pathfinder Consortium (with Harvard and Brigham and Women's Hospital) and a BrainStorm Therapeutics partnership provide pipeline breadth, but no specific next-generation product has a disclosed launch date or quantified revenue visibility [2]. R&amp;D Intensity (1/1): As a pre-revenue company, essentially all spending is R&amp;D-directed, consistent with a top-quartile R&amp;D intensity for its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The stated mission — 'capture biological signals at scale, decode them using AI, and validate them quickly' and 'turn the complexity of life into clarity for medicine' — is clear and identifies what the company does, but is largely interchangeable with the messaging of dozens of other AI-bio startups and has not yet been validated by sustained execution given the company's multiple identity changes [4]. Community Impact (0/2): No evidence of charitable giving or community investment programs was found; academic partnerships (Harvard, Brigham and Women's Hospital) are research collaborations rather than community/charitable initiatives. Employee Retention (0/2): No employee tenure or retention data was found. Insider Buying (0/2): No evidence of net insider buying was found; separately, Renovaro (the company's prior name) and certain current and former officers were named in securities class actions alleging false and misleading statements about the company's commercial prospects, and the company has sued its own co-founder alleging falsified study data — both weigh against, not for, leadership credibility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nearly all core metrics are unreliable or not meaningful and are excluded per the null-metric rule, but the qualitative balance sheet picture independently supports a floor-level score. As of the Q1 2026 10-Q, total stockholders' equity was approximately -$9.553M (negative) against total liabilities of ~$19.283M and total assets of ~$9.861M, rendering D/E and ROE mathematically undefined rather than merely weak [3]. The company received formal Nasdaq notice on April 28, 2026 of non-compliance with both the $35M market value of listed securities requirement and the $2.5M stockholders' equity requirement, creating active delisting risk. There is no revenue (profit margin, revenue growth, and forward P/E are not meaningful) and net losses were approximately -$178M in the trailing twelve months. Liquidity narrowly clears the $1M floor (~6.92M shares/day at ~$0.31 is roughly $2.1M in daily dollar volume) but reported price and volume figures are highly inconsistent across data providers, consistent with the extreme volatility described in the company's own securities-fraud lawsuit alleging failures-to-deliver as high as 81.6% of shares outstanding on a single day in March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Lunai Bioworks shows a finite-game profile dominated by survival dynamics rather than durable purpose. The company has changed its name and strategic identity three times (Enochian Biosciences, Renovaro, Lunai Bioworks), faces active Nasdaq delisting risk from negative stockholders' equity, and its predecessor entity was named in securities class actions alleging misleading statements about commercial prospects while separately suing its own co-founder for allegedly falsifying study data. While the AI-biodefense pivot and the first BioSymetrics revenue contract show some forward motion, there is no evidence yet of a consistently lived Just Cause, high-trust culture, or courage independent of financial necessity.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stated purpose of decoding biological signals with AI to 'turn the complexity of life into clarity for medicine' is present but reads as marketing language common across the AI-bio sector, and the company's history of repeated rebranding (Enochian to Renovaro to Lunai) alongside prior securities-fraud allegations about its commercial prospects undercuts the case that this purpose has genuinely and consistently shaped strategy [1][4].</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positive evidence of a high-trust culture was found; conversely, the prior entity's own lawsuit against its co-founder alleging falsified study data, plus ongoing securities class actions from shareholders, points toward organizational instability and internal conflict rather than psychological safety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management publicly acknowledging competitor strengths (larger AI drug-discovery platforms such as Recursion, Insilico, or defense-AI incumbents)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has undergone genuinely transformative pivots — from Enochian's HIV immunotherapy focus to Renovaro's broader immuno-oncology platform to Lunai's current AI drug-discovery-and-biodefense identity — but the pattern of successive full reinventions alongside chronic financial distress reads more as pivot-chasing under duress than a Just-Cause-driven strategic bet, keeping this below the top tier [2][3].</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was found of leadership sacrificing near-term performance for long-term capability; the observable pattern is instead one of dilution (52% share count increase in the trailing year), negative stockholders' equity, and a Nasdaq non-compliance notice, consistent with a company managing near-term survival rather than making principled long-term investments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Lunai Bioworks offers speculative, binary exposure to AI-driven drug discovery and AI biodefense: the Augusta platform targets CNS programs in epilepsy, Parkinson's, and Alzheimer's, and the BioSymetrics subsidiary secured its first revenue-generating, multi-year commercial defense collaboration in April 2026 for AI-enabled chemical threat assessment [2]. Academic partnerships with Harvard and Brigham and Women's Hospital through the Pathfinder Consortium provide some scientific credibility, and as an AI-native company the business is structurally immune to AI disruption — it is the disruptor, not the disrupted [2].</w:t>
      </w:r>
    </w:p>
    <w:p>
      <w:pPr>
        <w:spacing w:after="120"/>
      </w:pPr>
      <w:r>
        <w:rPr>
          <w:rFonts w:ascii="Calibri" w:hAnsi="Calibri"/>
          <w:b w:val="0"/>
          <w:color w:val="3A4A28"/>
          <w:sz w:val="20"/>
        </w:rPr>
        <w:t>The bear case is severe and dominant. As of the Q1 2026 10-Q, stockholders' equity was negative (~-$9.55M) against ~$19.28M in total liabilities, trailing-twelve-month net losses were approximately -$178M, and the company received formal Nasdaq notice on April 28, 2026 of non-compliance with both the $35M market value and $2.5M stockholders' equity continued-listing requirements — active delisting risk [3]. The predecessor entity (Renovaro) and certain officers face securities class actions alleging false and misleading statements about commercial prospects, and the company has separately sued its own co-founder alleging falsified study data, raising serious governance and credibility concerns [1]. Share count has grown 52% in the trailing year, and the company's own securities-fraud lawsuit alleges failures-to-deliver representing up to 81.6% of shares outstanding on a single day in March 2026 — evidence of extreme, disorderly trading conditions that make the stock unsuitable for anything but high-risk speculative capital [1]. This is a going-concern-level situation, not a standard growth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Expansion or renewal of the BioSymetrics defense collaboration, or additional named commercial contracts, could establish a credible recurring revenue base for the first time in company history [2]</w:t>
      </w:r>
    </w:p>
    <w:p>
      <w:pPr>
        <w:spacing w:before="40" w:after="40"/>
        <w:ind w:left="283"/>
      </w:pPr>
      <w:r>
        <w:rPr>
          <w:rFonts w:ascii="Calibri" w:hAnsi="Calibri"/>
          <w:b/>
          <w:color w:val="4A6B25"/>
          <w:sz w:val="20"/>
        </w:rPr>
        <w:t xml:space="preserve">2. </w:t>
      </w:r>
      <w:r>
        <w:rPr>
          <w:rFonts w:ascii="Calibri" w:hAnsi="Calibri"/>
          <w:b w:val="0"/>
          <w:color w:val="3A4A28"/>
          <w:sz w:val="20"/>
        </w:rPr>
        <w:t>Resolution of the Nasdaq listing compliance notice (via capital raise, reverse split, or equity restructuring) would remove near-term delisting risk, though likely at the cost of further dilution [3]</w:t>
      </w:r>
    </w:p>
    <w:p>
      <w:pPr>
        <w:spacing w:before="40" w:after="40"/>
        <w:ind w:left="283"/>
      </w:pPr>
      <w:r>
        <w:rPr>
          <w:rFonts w:ascii="Calibri" w:hAnsi="Calibri"/>
          <w:b/>
          <w:color w:val="4A6B25"/>
          <w:sz w:val="20"/>
        </w:rPr>
        <w:t xml:space="preserve">3. </w:t>
      </w:r>
      <w:r>
        <w:rPr>
          <w:rFonts w:ascii="Calibri" w:hAnsi="Calibri"/>
          <w:b w:val="0"/>
          <w:color w:val="3A4A28"/>
          <w:sz w:val="20"/>
        </w:rPr>
        <w:t>A favorable outcome or settlement in the naked short-selling securities fraud lawsuit could stabilize the share price and trading conditions if the court grants the requested relief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Negative stockholders' equity (~-$9.55M) and active Nasdaq non-compliance notices for both market value and equity requirements create real, near-term delisting risk [3]</w:t>
      </w:r>
    </w:p>
    <w:p>
      <w:pPr>
        <w:spacing w:before="40" w:after="40"/>
        <w:ind w:left="283"/>
      </w:pPr>
      <w:r>
        <w:rPr>
          <w:rFonts w:ascii="Calibri" w:hAnsi="Calibri"/>
          <w:b/>
          <w:color w:val="4A6B25"/>
          <w:sz w:val="20"/>
        </w:rPr>
        <w:t xml:space="preserve">2. </w:t>
      </w:r>
      <w:r>
        <w:rPr>
          <w:rFonts w:ascii="Calibri" w:hAnsi="Calibri"/>
          <w:b w:val="0"/>
          <w:color w:val="3A4A28"/>
          <w:sz w:val="20"/>
        </w:rPr>
        <w:t>Ongoing securities class actions against the predecessor entity (Renovaro) and a company-initiated lawsuit against its own co-founder for allegedly falsified study data raise serious governance and scientific-credibility concerns that could resurface under the Lunai identity [1]</w:t>
      </w:r>
    </w:p>
    <w:p>
      <w:pPr>
        <w:spacing w:before="40" w:after="40"/>
        <w:ind w:left="283"/>
      </w:pPr>
      <w:r>
        <w:rPr>
          <w:rFonts w:ascii="Calibri" w:hAnsi="Calibri"/>
          <w:b/>
          <w:color w:val="4A6B25"/>
          <w:sz w:val="20"/>
        </w:rPr>
        <w:t xml:space="preserve">3. </w:t>
      </w:r>
      <w:r>
        <w:rPr>
          <w:rFonts w:ascii="Calibri" w:hAnsi="Calibri"/>
          <w:b w:val="0"/>
          <w:color w:val="3A4A28"/>
          <w:sz w:val="20"/>
        </w:rPr>
        <w:t>Continued heavy shareholder dilution (52% share count growth in the trailing year) to fund a pre-revenue cash-burn business (~-$178M trailing net loss) will likely continue eroding per-share value absent a step-change in revenue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Lunai Bioworks' entire business model is built on deploying AI (the Augusta platform for drug discovery, BioSymetrics for AI-enabled biodefense) — it cannot be disrupted by the technology it is itself building, and its viability risk is financial/execution risk rather than AI substitution risk [2]. AI Opportunity (1/1): The company has a specific, named, revenue-generating commercial engagement — the BioSymetrics multi-year defense collaboration announced April 2026 for AI-enabled chemical threat assessment — providing concrete (if early-stage and undisclosed in dollar terms) AI-derived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Lunai Bioworks Naked Short Selling Securities Fraud Lawsuit — PRNewswire, StreetInsider, Investing.com, accessed May-August 2026</w:t>
      </w:r>
    </w:p>
    <w:p>
      <w:pPr>
        <w:spacing w:before="20" w:after="20"/>
        <w:ind w:left="170"/>
      </w:pPr>
      <w:r>
        <w:rPr>
          <w:rFonts w:ascii="Calibri" w:hAnsi="Calibri"/>
          <w:b/>
          <w:color w:val="4A6B25"/>
          <w:sz w:val="15"/>
        </w:rPr>
        <w:t xml:space="preserve">2. </w:t>
      </w:r>
      <w:r>
        <w:rPr>
          <w:rFonts w:ascii="Calibri" w:hAnsi="Calibri"/>
          <w:b w:val="0"/>
          <w:color w:val="3A4A28"/>
          <w:sz w:val="17"/>
        </w:rPr>
        <w:t>Lunai Bioworks CEO Letter to Shareholders and BioSymetrics Defense Collaboration Announcement — PRNewswire, StockTitan, April 2026</w:t>
      </w:r>
    </w:p>
    <w:p>
      <w:pPr>
        <w:spacing w:before="20" w:after="20"/>
        <w:ind w:left="170"/>
      </w:pPr>
      <w:r>
        <w:rPr>
          <w:rFonts w:ascii="Calibri" w:hAnsi="Calibri"/>
          <w:b/>
          <w:color w:val="4A6B25"/>
          <w:sz w:val="15"/>
        </w:rPr>
        <w:t xml:space="preserve">3. </w:t>
      </w:r>
      <w:r>
        <w:rPr>
          <w:rFonts w:ascii="Calibri" w:hAnsi="Calibri"/>
          <w:b w:val="0"/>
          <w:color w:val="3A4A28"/>
          <w:sz w:val="17"/>
        </w:rPr>
        <w:t>Lunai Bioworks Inc. Q1 2026 10-Q — Nasdaq Non-Compliance Notice, Negative Stockholders' Equity — StockTitan SEC Filings,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Lunai Bioworks Corporate Identity, Mission, and Augusta AI Platform — lunaibioworks.com, Nasdaq press release, accessed 2026</w:t>
      </w:r>
    </w:p>
    <w:p>
      <w:pPr>
        <w:spacing w:before="20" w:after="20"/>
        <w:ind w:left="170"/>
      </w:pPr>
      <w:r>
        <w:rPr>
          <w:rFonts w:ascii="Calibri" w:hAnsi="Calibri"/>
          <w:b/>
          <w:color w:val="4A6B25"/>
          <w:sz w:val="15"/>
        </w:rPr>
        <w:t xml:space="preserve">5. </w:t>
      </w:r>
      <w:r>
        <w:rPr>
          <w:rFonts w:ascii="Calibri" w:hAnsi="Calibri"/>
          <w:b w:val="0"/>
          <w:color w:val="3A4A28"/>
          <w:sz w:val="17"/>
        </w:rPr>
        <w:t>Renovaro Inc. Securities Class Actions and Co-Founder Litigation — SEC 10-K/A FY2024, Los Angeles Business Journal, GlobeNewswire, accessed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