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LTM</w:t>
      </w:r>
      <w:r>
        <w:rPr>
          <w:rFonts w:ascii="Calibri" w:hAnsi="Calibri"/>
          <w:b/>
          <w:color w:val="1A2010"/>
          <w:sz w:val="40"/>
        </w:rPr>
        <w:t xml:space="preserve">  LATAM Airlines Group S.A.</w:t>
      </w:r>
    </w:p>
    <w:p>
      <w:pPr>
        <w:spacing w:after="120"/>
      </w:pPr>
      <w:r>
        <w:rPr>
          <w:rFonts w:ascii="Calibri" w:hAnsi="Calibri"/>
          <w:b/>
          <w:color w:val="6E8450"/>
          <w:sz w:val="18"/>
        </w:rPr>
        <w:t>GROWTH SLEEVE · 2026-07-29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Chile</w:t>
      </w:r>
    </w:p>
    <w:p>
      <w:pPr>
        <w:spacing w:after="80"/>
      </w:pPr>
      <w:r>
        <w:rPr>
          <w:rFonts w:ascii="Calibri" w:hAnsi="Calibri"/>
          <w:b w:val="0"/>
          <w:color w:val="3A4A28"/>
          <w:sz w:val="20"/>
        </w:rPr>
        <w:t>LATAM Airlines Group is South America's largest airline, operating passenger and cargo services to 160 destinations across 27 countries. Founded in 1929 and headquartered in Santiago, Chile, the company operates a fleet of 371 aircraft and emerged from Chapter 11 bankruptcy in November 2022. In 2025, LATAM achieved record net income of $1.5B and transported 87 million passengers.</w:t>
      </w:r>
    </w:p>
    <w:p>
      <w:r>
        <w:rPr>
          <w:rFonts w:ascii="Calibri" w:hAnsi="Calibri"/>
          <w:b/>
          <w:color w:val="6E8450"/>
          <w:sz w:val="18"/>
        </w:rPr>
        <w:t>39,005 Employees · https://www.latamairlines.com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LATAM's post-bankruptcy transformation delivered record $1.5B net income in 2025 (up 49.4% YoY) and record Q1 2026 revenue of $4.15B, beating estimates by 4.88% [1][2]. The company expanded with 22 new routes (15 international) and grew its fleet to 371 aircraft with 26 new deliveries. AI Deployment (2/2): LATAM achieves concrete, measurable AI results — AI-driven schedule optimization added 1,440 more days of revenue service across the 380-aircraft fleet, and a significant share of customer interactions is managed by AI with improved response times and personalization [3]. CDO Andres Bucchi describes LATAM as 'a tech company that flies planes,' and cloud migration contributed to the 49% net income increase [3]. Market Share (2/2): Dominant South American carrier with 160 destinations across 27 countries; largest domestic airline in Chile, Brazil, Colombia, Peru, and Ecuador; transported 87M passengers in 2025 with 84.4% load factor [1][2]. Product Pipeline (1/2): 2026 guidance projects 8-10% capacity growth and revenue of $15.5-16.0B, with fleet expansion continuing, but growth is incremental route additions rather than next-generation products with specific named timelines [2]. R&amp;D Intensity (0/1): Airlines are not R&amp;D-intensive industries; while LATAM's digital investment is above airline peers, R&amp;D as a percentage of revenue remains low.</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LATAM's purpose centers on connecting Latin America with the world through air travel — a clear operational mission that identifies what the company does and for whom, but not deeply distinctive or aspirational beyond what any airline could claim [2]. Community Impact (1/2): LATAM was selected as the sole airline in the 2026 Dow Jones MILA Index, consolidating its position as the regional sustainability leader [4]. The company holds IEnvA Stage II environmental certification and maintains transparent Corporate Governance frameworks. However, no specific charitable foundation, community investment programs, or dollar amounts for philanthropy were identified. Employee Retention (1/2): CEO Roberto Alvo has 18+ years at LATAM, demonstrating institutional loyalty and leadership continuity through bankruptcy and recovery [3]. However, no broader employee retention metrics, average tenure data, or voluntary turnover rates are publicly available for the 39,005-person workforce. Insider Buying (0/2): No evidence of meaningful net insider buying by executives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$4.15B revenue (beating estimates by 4.88%) and EPS of $2.01 (beating estimates by 74.78%) [1]. TTM revenue of $15.07B represents 16.7% YoY growth with profit margin of 11.21% and ROE of 117.56% reflecting exceptional capital efficiency post-restructuring [5]. Forward P/E of 10.98 is well below the 20 target, offering attractive valuation. The 5-year revenue CAGR of ~29% is inflated by pandemic recovery (2020 revenue was $3.9B during COVID) and is not indicative of sustainable growth. Primary weakness is Debt-to-Equity of 435.97% ($8.40B gross debt against $2.54B cash), which exceeds the 300% floor and scores 0 on that component [5]. The D/E improved significantly from 604.88% in April 2026. Liquidity floor cleared: ~1.5M avg vol x $53.13 = $79.7M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LATAM shows mixed infinite-game characteristics. The company's survival through Chapter 11 and emergence as a record-breaking airline demonstrates resilience and adaptability. The digital transformation vision — 'a tech company that flies planes' — suggests long-term strategic thinking. However, the airline industry's inherent quarterly focus on load factors and unit costs, the lack of a deeply articulated transformative purpose, and the absence of evidence for competitive learning from rivals indicate significant finite-game tendencies.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LATAM has a genuine cause centered on connecting Latin America with the world and enabling regional mobility, validated by the company's survival through Chapter 11 bankruptcy and subsequent transformation into the region's strongest airline [2]. The purpose survived a near-death experience and drives strategic decisions including 22 new routes and fleet expansion. However, the cause lacks the aspirational idealism of a true Just Cause — air connectivity, while essential, is the functional purpose of every airline.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Roberto Alvo has led LATAM for 18+ years, providing exceptional leadership continuity through bankruptcy and recovery [3]. The 39,005-person workforce operates across multiple countries, and leadership emphasizes organizational capability — CEO Alvo argues that execution and 'how the airline organizes itself' matters more than technology [3]. However, no specific data on employee tenure, voluntary turnover, or cultural practices demonstrating exceptional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LATAM leadership explicitly acknowledging competitors' strengths or using competitive pressure as motivation for self-improvement. Public communications focus on LATAM's own achievements (record profits, AI deployment, route expansion) rather than learning from rivals such as Avianca, Copa, or Gol.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LATAM's Chapter 11 restructuring — shedding $3.6B in debt, restructuring fleet and operations, and reimagining digital infrastructure — qualifies as meaningful strategic adaptation [2][3]. The transformation from legacy airline to self-described 'tech company that flies planes' represents genuine evolution. However, this was driven by existential necessity (bankruptcy) rather than proactive purpose-driven reinvention, and the core business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LATAM's leadership navigated Chapter 11 bankruptcy, making difficult decisions including fleet rationalization, route restructuring, and $3.6B debt reduction [2]. Post-emergence, aggressive 8-10% capacity expansion with fleet growth and the commitment to digital transformation demonstrate willingness to invest. The reinstatement of dividends signals confidence. However, these decisions were largely forced by circumstances rather than proactive sacrifice of short-term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LATAM Airlines is delivering exceptional post-bankruptcy performance — record Q1 2026 revenue of $4.15B (beating by 4.88%), EPS of $2.01 (beating by 74.78%), and TTM revenue of $15.07B with 16.7% YoY growth [1][5]. The 2025 record of $1.5B net income (up 49.4%) and 87M passengers transported demonstrates the structural efficiency gains from Chapter 11 restructuring [2]. At 10.98x forward earnings with profit margin of 11.21% and ROE of 117.56%, LATAM offers attractive valuation for South America's dominant airline franchise with 160 destinations and 371 aircraft. AI-driven operational improvements (1,440 more revenue service days, AI-managed customer interactions) and the digital transformation vision position LATAM to sustain efficiency gains [3]. 2026 guidance of $15.5-16.0B revenue with 8-10% capacity growth provides clear visibility.</w:t>
      </w:r>
    </w:p>
    <w:p>
      <w:pPr>
        <w:spacing w:after="120"/>
      </w:pPr>
      <w:r>
        <w:rPr>
          <w:rFonts w:ascii="Calibri" w:hAnsi="Calibri"/>
          <w:b w:val="0"/>
          <w:color w:val="3A4A28"/>
          <w:sz w:val="20"/>
        </w:rPr>
        <w:t>The bear case centers on balance sheet leverage and cyclicality. D/E of 435.97% with $8.40B gross debt against $2.54B cash, while improved from 604.88% in April, remains dangerously elevated for a cyclical business that was in Chapter 11 as recently as 2022 [5]. The 5-year revenue CAGR of ~29% entirely reflects COVID recovery from a $3.9B 2020 base and is misleading — underlying growth normalizes to mid-single digits. Latin American macro exposure creates persistent headwinds: currency devaluations (Brazilian real, Colombian peso), political instability across the five-country operation, and fuel price volatility represent structural risks to the 11.21% profit margin. The nascent dividend program (only 2 years post-emergence) and the airline industry's historical boom-bust patterns suggest current record profitability may be a cyclical peak. The Inspiration score of 4 reflects limited purpose-driven leadership and community investment beyond ESG compliance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$15.5-16.0B with 8-10% capacity growth, fleet expansion, and adjusted operating margin of 15-17% targeting continued record profitability [2]</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efficiencies scaling across the fleet — schedule optimization (1,440 more revenue days), predictive maintenance, customer interaction automation — with CDO targeting further digitization [3]</w:t>
      </w:r>
    </w:p>
    <w:p>
      <w:pPr>
        <w:spacing w:before="40" w:after="40"/>
        <w:ind w:left="283"/>
      </w:pPr>
      <w:r>
        <w:rPr>
          <w:rFonts w:ascii="Calibri" w:hAnsi="Calibri"/>
          <w:b/>
          <w:color w:val="4A6B25"/>
          <w:sz w:val="20"/>
        </w:rPr>
        <w:t xml:space="preserve">3. </w:t>
      </w:r>
      <w:r>
        <w:rPr>
          <w:rFonts w:ascii="Calibri" w:hAnsi="Calibri"/>
          <w:b w:val="0"/>
          <w:color w:val="3A4A28"/>
          <w:sz w:val="20"/>
        </w:rPr>
        <w:t>D/E improvement from 604.88% to 435.97% demonstrates active deleveraging trajectory; continued free cash flow generation ($2.27B TTM) supports balance sheet repair and dividend sustainability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435.97% with $8.40B gross debt in a cyclical, capital-intensive industry — only 3 years removed from Chapter 11, any demand shock or fuel price spike could pressure the 11.21% margin [5]</w:t>
      </w:r>
    </w:p>
    <w:p>
      <w:pPr>
        <w:spacing w:before="40" w:after="40"/>
        <w:ind w:left="283"/>
      </w:pPr>
      <w:r>
        <w:rPr>
          <w:rFonts w:ascii="Calibri" w:hAnsi="Calibri"/>
          <w:b/>
          <w:color w:val="4A6B25"/>
          <w:sz w:val="20"/>
        </w:rPr>
        <w:t xml:space="preserve">2. </w:t>
      </w:r>
      <w:r>
        <w:rPr>
          <w:rFonts w:ascii="Calibri" w:hAnsi="Calibri"/>
          <w:b w:val="0"/>
          <w:color w:val="3A4A28"/>
          <w:sz w:val="20"/>
        </w:rPr>
        <w:t>Latin American macro exposure including currency volatility across five operating countries, political instability, and cargo revenue weakness signaling potential trade slowdown [2]</w:t>
      </w:r>
    </w:p>
    <w:p>
      <w:pPr>
        <w:spacing w:before="40" w:after="40"/>
        <w:ind w:left="283"/>
      </w:pPr>
      <w:r>
        <w:rPr>
          <w:rFonts w:ascii="Calibri" w:hAnsi="Calibri"/>
          <w:b/>
          <w:color w:val="4A6B25"/>
          <w:sz w:val="20"/>
        </w:rPr>
        <w:t xml:space="preserve">3. </w:t>
      </w:r>
      <w:r>
        <w:rPr>
          <w:rFonts w:ascii="Calibri" w:hAnsi="Calibri"/>
          <w:b w:val="0"/>
          <w:color w:val="3A4A28"/>
          <w:sz w:val="20"/>
        </w:rPr>
        <w:t>Post-pandemic revenue CAGR of ~29% is unsustainable — underlying growth normalizes to mid-single digits as capacity recovery matures, creating risk of multiple compression from the current 10.98x forward P/E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LATAM's core business — physically transporting 87M passengers annually across Latin America using a 371-aircraft fleet — is structurally immune to AI disruption [2]. Aircraft maintenance, crew operations, airport logistics, and passenger movement require physical capabilities far beyond AI's reach. Regulatory barriers (bilateral air service agreements, safety certifications, slot allocations) create additional structural moats. Some customer-facing functions (booking, pricing, customer service) could face AI-enabled competition, but LATAM is proactively deploying AI in these areas rather than being disrupted [3]. AI Opportunity (1/1): LATAM generates measurable value from AI — 1,440 additional revenue service days from AI schedule optimization, AI-managed customer interactions with improved personalization, and cloud migration driving operational efficiency gains contributing to the 49% net income increase [3]. Dedicated CDO and Chief Information and Digital Officer lead the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LATAM Airlines Q1 2026 Earnings Release — $4.15B revenue (beat by 4.88%), $2.01 EPS (beat by 74.78%), via Meyka and SEC 6-K Filing, May 2026</w:t>
      </w:r>
    </w:p>
    <w:p>
      <w:pPr>
        <w:spacing w:before="20" w:after="20"/>
        <w:ind w:left="170"/>
      </w:pPr>
      <w:r>
        <w:rPr>
          <w:rFonts w:ascii="Calibri" w:hAnsi="Calibri"/>
          <w:b/>
          <w:color w:val="4A6B25"/>
          <w:sz w:val="15"/>
        </w:rPr>
        <w:t xml:space="preserve">2. </w:t>
      </w:r>
      <w:r>
        <w:rPr>
          <w:rFonts w:ascii="Calibri" w:hAnsi="Calibri"/>
          <w:b w:val="0"/>
          <w:color w:val="3A4A28"/>
          <w:sz w:val="17"/>
        </w:rPr>
        <w:t>LATAM Airlines 2025 Annual Results — record $1.5B net income (up 49.4%), 87M passengers, 2026 guidance $15.5-16.0B revenue, via BrazilStockGuide, March 2026</w:t>
      </w:r>
    </w:p>
    <w:p>
      <w:pPr>
        <w:spacing w:before="20" w:after="20"/>
        <w:ind w:left="170"/>
      </w:pPr>
      <w:r>
        <w:rPr>
          <w:rFonts w:ascii="Calibri" w:hAnsi="Calibri"/>
          <w:b/>
          <w:color w:val="4A6B25"/>
          <w:sz w:val="15"/>
        </w:rPr>
        <w:t xml:space="preserve">3. </w:t>
      </w:r>
      <w:r>
        <w:rPr>
          <w:rFonts w:ascii="Calibri" w:hAnsi="Calibri"/>
          <w:b w:val="0"/>
          <w:color w:val="3A4A28"/>
          <w:sz w:val="17"/>
        </w:rPr>
        <w:t>LATAM Airlines Digital Transformation — AI integration (1,440 more revenue days), CDO Andres Bucchi interview, cloud migration, via SimpleFlying and Delphina.ai, 2026</w:t>
      </w:r>
    </w:p>
    <w:p>
      <w:pPr>
        <w:spacing w:before="20" w:after="20"/>
        <w:ind w:left="170"/>
      </w:pPr>
      <w:r>
        <w:rPr>
          <w:rFonts w:ascii="Calibri" w:hAnsi="Calibri"/>
          <w:b/>
          <w:color w:val="4A6B25"/>
          <w:sz w:val="15"/>
        </w:rPr>
        <w:t xml:space="preserve">4. </w:t>
      </w:r>
      <w:r>
        <w:rPr>
          <w:rFonts w:ascii="Calibri" w:hAnsi="Calibri"/>
          <w:b w:val="0"/>
          <w:color w:val="3A4A28"/>
          <w:sz w:val="17"/>
        </w:rPr>
        <w:t>LATAM Airlines ESG — sole airline in 2026 Dow Jones MILA Index, IEnvA Stage II certification, sustainability leadership, via AviaciónAlDía, May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CNBC — LTM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