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LXEH</w:t>
      </w:r>
      <w:r>
        <w:rPr>
          <w:rFonts w:ascii="Calibri" w:hAnsi="Calibri"/>
          <w:b/>
          <w:color w:val="1A2010"/>
          <w:sz w:val="40"/>
        </w:rPr>
        <w:t xml:space="preserve">  Lixiang Education Holding Co., Ltd.</w:t>
      </w:r>
    </w:p>
    <w:p>
      <w:pPr>
        <w:spacing w:after="120"/>
      </w:pPr>
      <w:r>
        <w:rPr>
          <w:rFonts w:ascii="Calibri" w:hAnsi="Calibri"/>
          <w:b/>
          <w:color w:val="6E8450"/>
          <w:sz w:val="18"/>
        </w:rPr>
        <w:t>GROWTH SLEEVE · 2026-08-04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NASDAQ · China</w:t>
      </w:r>
    </w:p>
    <w:p>
      <w:pPr>
        <w:spacing w:after="80"/>
      </w:pPr>
      <w:r>
        <w:rPr>
          <w:rFonts w:ascii="Calibri" w:hAnsi="Calibri"/>
          <w:b w:val="0"/>
          <w:color w:val="3A4A28"/>
          <w:sz w:val="20"/>
        </w:rPr>
        <w:t>Lixiang Education Holding Co., Ltd. provides private high school and vocational education services in China through schools including Qingtian International School, Lishui International School, Beijing Xinxiang, Langfang School, and Hainan Jiangcai. The company is expanding into healthcare support services. Formerly known as Lianwai Education Group, renamed in May 2020. Founded 2001, headquartered in Lishui, China. Market cap approximately $3M. Executed a 1-for-10 reverse stock split in 2026.</w:t>
      </w:r>
    </w:p>
    <w:p>
      <w:r>
        <w:rPr>
          <w:rFonts w:ascii="Calibri" w:hAnsi="Calibri"/>
          <w:b/>
          <w:color w:val="6E8450"/>
          <w:sz w:val="18"/>
        </w:rPr>
        <w:t>300 Employees · https://www.lxehedu.com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Lixiang Education operates traditional K-12 and vocational schools in China with no meaningful product launches or business model transformations in the last five years [1]. Vocational education revenue declined 19.6% in H1 2025. The company's expansion into healthcare support services represents an incremental adjacency, earning 1 point, but this has not yet generated meaningful revenue. Q2 2026 total revenue was just $1.13M [1]. AI Deployment (0/2): No evidence of any AI deployment or strategy. The company operates traditional classroom-based education with no technology platform. Market Share (0/2): Lixiang is a tiny participant in China's fragmented private education market with no share differentiation or category leadership. Revenue of ~$4.4M TTM makes it a micro-participant [1]. Product Pipeline (0/2): No visible product pipeline. The company mentioned healthcare support services as a new revenue stream but provided no specific timelines or revenue targets [2]. R&amp;D Intensity (0/1): No R&amp;D spending reported for a company generating $4.4M in annual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Lixiang Education's mission focuses on 'providing high-quality education and fostering a supportive environment to prepare students for success in a globalized world' — clear and identifies an education purpose but generic and interchangeable with any private school [2]. The emphasis on 'globalized world' preparation reflects some intentionality about the school's international positioning. Community Impact (0/2): No evidence of charitable programs, foundation, or community investment beyond the core educational services. Employee Retention (0/2): No public data on employee culture, turnover, or organizational sentiment. The company operates approximately 300 employees across five schools with no Glassdoor or equivalent data available. Insider Buying (0/2): CEO Biao Wei and the leadership team's insider transaction data is not accessible through standard U.S. reporting channels for this VIE-structured Chinese ADR.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Post-reverse split (1-for-10) estimated average daily volume of approximately 30,000 shares x $1.56 stock price = approximately $47,000 daily dollar volume, far below the $1,000,000 minimum threshold [3]. The company narrowly regained compliance with Nasdaq's $5M market value of publicly held shares rule in June 2026 after the reverse split, but remains at risk of future non-compliance with a market cap of only ~$3M [3]. Even without the liquidity floor, fundamentals are catastrophic: TTM profit margin of -395.4% (losses of ~$17.4M on $4.4M revenue), deeply negative ROE, and Q2 2026 revenue of just $1.13M with EPS of -$3.59 [1]. The balance sheet carries D/E of approximately 49%, but this is academic given the company's existential financial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Lixiang Education operates in survival mode — the company's primary strategic concern is maintaining Nasdaq listing compliance (executed a 1-for-10 reverse split, narrowly regained MVPHS compliance) rather than advancing an enduring educational mission. The $3M market cap, $4.4M revenue, and losses exceeding revenue indicate a business fighting for existence, which is the definitional opposite of infinite-game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purpose of providing quality education is inherently cause-oriented, connecting the company's work to human development. Lixiang has operated schools since 2001, demonstrating some institutional persistence through China's education regulatory upheavals [2]. However, there is no evidence this cause drives strategic decisions — management focus is on Nasdaq compliance, CFO hiring for internal controls, and basic financial survival [3]. The cause reads as a sector descriptor rather than a galvanizing vision.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public data on employee culture, turnover, or organizational trust available for this micro-cap Chinese education company. The company operates approximately 300 employees across five schools. Financial distress — with net losses exceeding revenue and near-delisting episodes — creates an environment of uncertainty that undermines organizational trust [1][3]. The September 2024 CFO appointment (Zhifu Yang) suggests leadership turnover.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or learning from competitors. Lixiang competes with numerous private and public education providers in China's fragmented market, but public disclosures show no competitive intelligence, rival-learning language, or constructive competitive awareness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Lixiang has shown some willingness to adapt — expanding from traditional high school to vocational education, broadening geographically to five school locations (Qingtian, Lishui, Beijing, Langfang, Hainan), and attempting healthcare support services as a new revenue stream [2]. These are incremental extensions within adjacent sectors rather than transformative pivots, but they demonstrate survival instinct in a hostile regulatory environment.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maintain a Nasdaq listing and continue operating private schools through China's 2021 double-reduction policy crackdown on private education required some courage — many peers exited or delisted [2]. The 1-for-10 reverse split to maintain compliance was a pragmatic survival move. However, the financial results suggest courage without competence — persistent losses and near-delisting indicate the bold decisions have not produced sustainable outcomes.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Lixiang Education is a micro-cap Chinese education company trading at $1.56 post-reverse-split with a market cap of approximately $3M, operating five schools across China's high school and vocational education segments [1]. The education sector provides some defensive characteristics against AI disruption (physical schools, licensed facilities, credentialed diplomas). The company regained Nasdaq MVPHS compliance in June 2026 after executing a 1-for-10 reverse split. The expansion into healthcare support services could potentially diversify revenue if successful.</w:t>
      </w:r>
    </w:p>
    <w:p>
      <w:pPr>
        <w:spacing w:after="120"/>
      </w:pPr>
      <w:r>
        <w:rPr>
          <w:rFonts w:ascii="Calibri" w:hAnsi="Calibri"/>
          <w:b w:val="0"/>
          <w:color w:val="3A4A28"/>
          <w:sz w:val="20"/>
        </w:rPr>
        <w:t>The bear case is overwhelming and existential. The company is losing far more money than it earns — TTM profit margin of -395.4% with net losses of approximately $17.4M on just $4.4M in revenue [1]. Q2 2026 revenue was only $1.13M with -$3.59 EPS, suggesting continued deterioration. The $3M market cap and approximately $47K daily dollar volume make the stock essentially untradeable for institutional investors and trigger the IOWN liquidity floor, producing an Infrastructure score of zero [3]. Nasdaq compliance remains precarious — the company barely regained MVPHS compliance and another downturn could reignite delisting proceedings. China's regulatory environment remains hostile to private education following the 2021 double-reduction policy, with vocational education revenue declining 19.6% in H1 2025 [2]. VIE structure adds governance risk for U.S.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Healthcare support services generating meaningful revenue that diversifies the business beyond declining traditional education segments [2]</w:t>
      </w:r>
    </w:p>
    <w:p>
      <w:pPr>
        <w:spacing w:before="40" w:after="40"/>
        <w:ind w:left="283"/>
      </w:pPr>
      <w:r>
        <w:rPr>
          <w:rFonts w:ascii="Calibri" w:hAnsi="Calibri"/>
          <w:b/>
          <w:color w:val="4A6B25"/>
          <w:sz w:val="20"/>
        </w:rPr>
        <w:t xml:space="preserve">2. </w:t>
      </w:r>
      <w:r>
        <w:rPr>
          <w:rFonts w:ascii="Calibri" w:hAnsi="Calibri"/>
          <w:b w:val="0"/>
          <w:color w:val="3A4A28"/>
          <w:sz w:val="20"/>
        </w:rPr>
        <w:t>Vocational education enrollment recovery driven by Chinese government policy prioritizing vocational training over traditional academic pathways</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partnership or acquisition by a larger Chinese education or healthcare platform seeking licensed school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financial risk — net losses of ~$17.4M on $4.4M revenue (-395% margin) indicate a business model that destroys capital, requiring dilutive financing to continue operations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remains a near-term threat despite regaining MVPHS compliance in June 2026 — the $3M market cap provides virtually no margin of safety against future non-compliance [3]</w:t>
      </w:r>
    </w:p>
    <w:p>
      <w:pPr>
        <w:spacing w:before="40" w:after="40"/>
        <w:ind w:left="283"/>
      </w:pPr>
      <w:r>
        <w:rPr>
          <w:rFonts w:ascii="Calibri" w:hAnsi="Calibri"/>
          <w:b/>
          <w:color w:val="4A6B25"/>
          <w:sz w:val="20"/>
        </w:rPr>
        <w:t xml:space="preserve">3. </w:t>
      </w:r>
      <w:r>
        <w:rPr>
          <w:rFonts w:ascii="Calibri" w:hAnsi="Calibri"/>
          <w:b w:val="0"/>
          <w:color w:val="3A4A28"/>
          <w:sz w:val="20"/>
        </w:rPr>
        <w:t>Chinese regulatory hostility to private education providers following the 2021 double-reduction policy, with VIE structure adding governance and expropriation risk for U.S. ADR 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Physical-campus education in China has meaningful AI protection — classroom instruction, student supervision, credentialed diploma programs, and licensed school facilities require human teachers and physical infrastructure that AI cannot replace [2]. China's education regulatory framework requires licensed operators for diploma-granting institutions, creating structural barriers to AI disruption. However, AI tutoring platforms (Squirrel AI, Zhangmen, Yuanfudao) and online education competitors pose meaningful substitution risk, particularly for the vocational education segments where skill training can increasingly be delivered digitally. The 19.6% decline in vocational revenue may already reflect technology-enabled competition. AI Opportunity (0/1): No evidence of AI revenue generation, AI deployment, or any meaningful technology adoption within Lixiang's school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Lixiang Education Q2 2026 and Recent Financial Results — Revenue $1.13M, EPS -$3.59, TTM Revenue $4.4M, May 2026</w:t>
      </w:r>
    </w:p>
    <w:p>
      <w:pPr>
        <w:spacing w:before="20" w:after="20"/>
        <w:ind w:left="170"/>
      </w:pPr>
      <w:r>
        <w:rPr>
          <w:rFonts w:ascii="Calibri" w:hAnsi="Calibri"/>
          <w:b/>
          <w:color w:val="4A6B25"/>
          <w:sz w:val="15"/>
        </w:rPr>
        <w:t xml:space="preserve">2. </w:t>
      </w:r>
      <w:r>
        <w:rPr>
          <w:rFonts w:ascii="Calibri" w:hAnsi="Calibri"/>
          <w:b w:val="0"/>
          <w:color w:val="3A4A28"/>
          <w:sz w:val="17"/>
        </w:rPr>
        <w:t>Lixiang Education Company Profile — Yahoo Finance, DCFModeling.com, leadership team and mission,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Nasdaq Compliance Notices — MVPHS Deficiency (February 2026), 1-for-10 Reverse Split, Compliance Regained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