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LX</w:t>
      </w:r>
      <w:r>
        <w:rPr>
          <w:rFonts w:ascii="Calibri" w:hAnsi="Calibri"/>
          <w:b/>
          <w:color w:val="1A2010"/>
          <w:sz w:val="40"/>
        </w:rPr>
        <w:t xml:space="preserve">  LexinFintech Holdings Ltd.</w:t>
      </w:r>
    </w:p>
    <w:p>
      <w:pPr>
        <w:spacing w:after="120"/>
      </w:pPr>
      <w:r>
        <w:rPr>
          <w:rFonts w:ascii="Calibri" w:hAnsi="Calibri"/>
          <w:b/>
          <w:color w:val="6E8450"/>
          <w:sz w:val="18"/>
        </w:rPr>
        <w:t>GROWTH SLEEVE · 2026-07-27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Consumer Finance · NASDAQ · China</w:t>
      </w:r>
    </w:p>
    <w:p>
      <w:pPr>
        <w:spacing w:after="80"/>
      </w:pPr>
      <w:r>
        <w:rPr>
          <w:rFonts w:ascii="Calibri" w:hAnsi="Calibri"/>
          <w:b w:val="0"/>
          <w:color w:val="3A4A28"/>
          <w:sz w:val="20"/>
        </w:rPr>
        <w:t>LexinFintech Holdings Ltd. is a Chinese fintech company providing online consumer finance services primarily to young adults through its Fenqile installment e-commerce platform and technology-empowerment services to financial institution partners. Q1 2026 revenue of RMB3.31B was up 6.6% YoY with total loan originations of RMB57.9B increasing 12.2% YoY. ADR trades on NASDAQ at approximately $1.46 per share.</w:t>
      </w:r>
    </w:p>
    <w:p>
      <w:r>
        <w:rPr>
          <w:rFonts w:ascii="Calibri" w:hAnsi="Calibri"/>
          <w:b/>
          <w:color w:val="6E8450"/>
          <w:sz w:val="18"/>
        </w:rPr>
        <w:t>3,500 Employees · https://www.lexinfintech.com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LexinFintech has evolved from a pure consumer lending platform into a diversified fintech company, with tech-empowerment service income growing 55.3% YoY to RMB830M in Q2 2025, representing a meaningful revenue stream diversification [1]. However, the core business model of online consumer lending has not fundamentally changed since the company's founding in 2013. AI Deployment (2/2): LexinFintech has optimized over 50 operational roles with AI agents spanning credit strategy reviews, automated monitoring, customer service, and risk management [2]. This is quantifiable AI deployment with measurable operational impact across the business. The AI-driven risk management system is the core competitive advantage enabling automated credit decisioning at scale. Market Share (1/2): A meaningful participant in China's online consumer finance market serving young adults, but not the category leader — Ant Financial, JD Finance, and other larger platforms dominate the broader fintech landscape [3]. Product Pipeline (0/2): Management focuses on AI-driven risk management improvements and tech-empowerment expansion, but no specific next-generation products with defined launch dates or revenue targets have been announced [1]. R&amp;D Intensity (1/1): As a technology-first fintech company, R&amp;D investment is above industry average for Chinese consumer lenders, with significant spending on AI and machine learning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LexinFintech's mission to be 'the most trusted online consumption platform for young adults in China, driving financial inclusion and promoting sustainable fintech development' is specific to its audience and connects consumer lending to the broader purpose of financial inclusion for underserved demographics [4]. The mission is thoughtful but has not been tested through decades of execution or proven through crisis. Community Impact (1/2): LexinFintech received the Wealth and Society Corporate Commitment Certificate from The Asian Banker in December 2021 recognizing ESG efforts including philanthropic actions and support for small and micro business owners [5]. General recognition without specific dollar amounts or distinctive programs. Employee Retention (0/2): No specific employee retention data, turnover rates, or tenure metrics are publicly available for LexinFintech's approximately 3,500 employees. Insider Buying (0/2): CEO Jay Wenjie Xiao committed to a 30% payout ratio and launched a $50M share repurchase program in July 2025, but these are corporate actions rather than personal insider buying [2]. No evidence of meaningful net insider purchases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standout is the extremely low forward P/E of 2.82, reflecting the deep discount applied to Chinese ADRs amid regulatory and geopolitical risk [6]. D/E of 33% is well below the 70% target, indicating a conservatively leveraged balance sheet. Revenue growth of 6.6% in Q1 2026 approaches the 10% target after a challenging 2025 where annual revenue declined 7.4% to RMB13.15B [1]. ROE of approximately 7.5% on a trailing basis is below the 15% target but positive, and profit margin of 5.3% is well below the 20% target. Q1 2026 net income fell 53.2% YoY to RMB201M as higher provisions for financing receivables and contingent guarantee liabilities compressed margins [1]. The 5-year revenue CAGR of approximately 5% reflects volatile growth punctuated by regulatory disruptions in 2021-2022. Liquidity is adequate at 2.91M shares average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LexinFintech operates with a predominantly finite mindset driven by regulatory survival and quarterly performance metrics. The pivot from pure consumer lending to tech-empowerment services was forced by Chinese regulatory tightening rather than cause-driven transformation. While the financial inclusion mission is genuine, strategic decisions are dictated by regulatory compliance and near-term profitability targets. The company's short 13-year history has not tested its purpose through sustained crisis or leadership transitions.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Financial inclusion for young adults in China is a reasonable purpose that connects lending to broader social impact, but it has not been validated by decades of consistent execution [4]. The company's strategic shifts — from pure lending to tech-empowerment, from growth to profitability focus — have been driven primarily by Chinese regulatory mandates rather than by cause-driven conviction. Founded in 2013, the company is too young to have proven its purpose through multiple market cycles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LexinFintech's approximately 3,500 employees operate in a technology-focused culture with CEO Jay Xiao maintaining consistent leadership since founding in 2013. No major cultural controversies, mass layoffs, or employee disputes have been reported. The company's AI deployment across 50+ roles suggests workforce integration with technology rather than displacement. However, no specific data on employee retention, tenure, or satisfaction metrics is available to validate trust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LexinFintech's management publicly acknowledges learning from competitors like Ant Financial, JD Finance, or other Chinese fintech platforms. Competitive positioning focuses on serving the young adult demographic niche rather than engaging with what larger rivals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LexinFintech adapted its business model from pure consumer lending to a diversified platform incorporating tech-empowerment services, installment e-commerce, and financial institution technology partnerships [1]. This evolution was partly forced by Chinese regulatory changes (leverage limits, fee caps, funding partner requirements) but demonstrated genuine adaptability. The tech-empowerment pivot opened a new revenue stream growing 55% that could eventually reshape the company. However, the transformation was incremental rather than a complete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pivot from pure consumer lending to a technology-empowerment model required meaningful business model restructuring and investment in new capabilities [1]. CEO Jay Xiao's commitment to 30% dividend payout ratio and $50M buyback program demonstrates shareholder alignment, and the decision to increase provisions for credit risk in Q1 2026 despite the 53% earnings hit shows willingness to absorb short-term pain. However, many of these strategic shifts were forced by regulation rather than chosen proactively.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LexinFintech offers extreme value at a forward P/E of 2.82, trading at $1.46 per ADR with a market cap of ~$350M against Q1 2026 revenue of RMB3.31B growing 6.6% YoY and loan originations of RMB57.9B up 12.2% [1]. The tech-empowerment revenue stream grew 55.3% in 2025, providing diversification from pure consumer lending, and AI deployment across 50+ operational roles demonstrates technology leadership in Chinese consumer finance [2]. CEO Xiao's shareholder-friendly approach — 30% payout ratio and $50M buyback — signals confidence in the business. The conservative D/E of 33% provides balance sheet flexibility relative to lending peers, and a recovery in Chinese consumer confidence could drive significant earnings upside from depressed levels.</w:t>
      </w:r>
    </w:p>
    <w:p>
      <w:pPr>
        <w:spacing w:after="120"/>
      </w:pPr>
      <w:r>
        <w:rPr>
          <w:rFonts w:ascii="Calibri" w:hAnsi="Calibri"/>
          <w:b w:val="0"/>
          <w:color w:val="3A4A28"/>
          <w:sz w:val="20"/>
        </w:rPr>
        <w:t>The risks are formidable and justify the extreme valuation discount. Q1 2026 net income plunged 53.2% YoY to RMB201M as higher provisions for financing receivables signaled deteriorating credit quality in the consumer loan portfolio [1]. Chinese regulatory risk remains elevated with ongoing tightening of online lending rules, stricter leverage limits, fee caps, and funding partner whitelisting requirements that could further constrain LexinFintech's operating model [3]. Revenue declined 7.4% in full-year 2025 and management guides for flat loan originations in Q2 2026, suggesting macro headwinds persist [1]. The ADR structure exposes investors to VIE risk and potential US-China delisting pressures. At $1.46 per share, the stock has fallen over 80% from its 52-week high of $9.35, reflecting deep market skepticism about Chinese consumer credit conditions.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consumer confidence recovery driving loan origination growth above the 12.2% Q1 2026 pace and reversing the 2025 revenue decline of 7.4%</w:t>
      </w:r>
    </w:p>
    <w:p>
      <w:pPr>
        <w:spacing w:before="40" w:after="40"/>
        <w:ind w:left="283"/>
      </w:pPr>
      <w:r>
        <w:rPr>
          <w:rFonts w:ascii="Calibri" w:hAnsi="Calibri"/>
          <w:b/>
          <w:color w:val="4A6B25"/>
          <w:sz w:val="20"/>
        </w:rPr>
        <w:t xml:space="preserve">2. </w:t>
      </w:r>
      <w:r>
        <w:rPr>
          <w:rFonts w:ascii="Calibri" w:hAnsi="Calibri"/>
          <w:b w:val="0"/>
          <w:color w:val="3A4A28"/>
          <w:sz w:val="20"/>
        </w:rPr>
        <w:t>Tech-empowerment revenue continuing its 55% growth trajectory and reaching a sufficient scale to meaningfully diversify away from consumer lending credit risk</w:t>
      </w:r>
    </w:p>
    <w:p>
      <w:pPr>
        <w:spacing w:before="40" w:after="40"/>
        <w:ind w:left="283"/>
      </w:pPr>
      <w:r>
        <w:rPr>
          <w:rFonts w:ascii="Calibri" w:hAnsi="Calibri"/>
          <w:b/>
          <w:color w:val="4A6B25"/>
          <w:sz w:val="20"/>
        </w:rPr>
        <w:t xml:space="preserve">3. </w:t>
      </w:r>
      <w:r>
        <w:rPr>
          <w:rFonts w:ascii="Calibri" w:hAnsi="Calibri"/>
          <w:b w:val="0"/>
          <w:color w:val="3A4A28"/>
          <w:sz w:val="20"/>
        </w:rPr>
        <w:t>Credit quality stabilization with provisions normalizing after the Q1 2026 surge, allowing net income to recover from the 53% decline and demonstrate the profitability embedded in the 2.82x forward 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consumer credit deterioration forcing additional provisions that keep net income depressed or push the company toward losses as loan quality weakens in a slowing economy</w:t>
      </w:r>
    </w:p>
    <w:p>
      <w:pPr>
        <w:spacing w:before="40" w:after="40"/>
        <w:ind w:left="283"/>
      </w:pPr>
      <w:r>
        <w:rPr>
          <w:rFonts w:ascii="Calibri" w:hAnsi="Calibri"/>
          <w:b/>
          <w:color w:val="4A6B25"/>
          <w:sz w:val="20"/>
        </w:rPr>
        <w:t xml:space="preserve">2. </w:t>
      </w:r>
      <w:r>
        <w:rPr>
          <w:rFonts w:ascii="Calibri" w:hAnsi="Calibri"/>
          <w:b w:val="0"/>
          <w:color w:val="3A4A28"/>
          <w:sz w:val="20"/>
        </w:rPr>
        <w:t>Regulatory tightening through stricter leverage limits fee caps and funding partner whitelisting requirements further constraining LexinFintech's ability to originate and monetize consumer loans</w:t>
      </w:r>
    </w:p>
    <w:p>
      <w:pPr>
        <w:spacing w:before="40" w:after="40"/>
        <w:ind w:left="283"/>
      </w:pPr>
      <w:r>
        <w:rPr>
          <w:rFonts w:ascii="Calibri" w:hAnsi="Calibri"/>
          <w:b/>
          <w:color w:val="4A6B25"/>
          <w:sz w:val="20"/>
        </w:rPr>
        <w:t xml:space="preserve">3. </w:t>
      </w:r>
      <w:r>
        <w:rPr>
          <w:rFonts w:ascii="Calibri" w:hAnsi="Calibri"/>
          <w:b w:val="0"/>
          <w:color w:val="3A4A28"/>
          <w:sz w:val="20"/>
        </w:rPr>
        <w:t>ADR delisting risk and VIE structure vulnerability as US-China tensions persist combined with the stock's 80%+ decline from 52-week highs signaling that value trap risk may outweigh recovery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Online consumer lending is directly exposed to AI disruption — AI can automate credit underwriting, customer service, collections, and risk management, which are LexinFintech's core value propositions [2]. Larger technology platforms like Ant Financial and JD Finance have superior AI capabilities and data advantages. However, LexinFintech has been proactive in adopting AI across 50+ roles, and Chinese regulatory barriers to entry (fintech licensing, data privacy requirements, funding partner whitelisting) provide some structural protection against new AI-native entrants [3]. The outcome remains uncertain as the company simultaneously benefits from and is threatened by AI advancement. AI Opportunity (1/1): LexinFintech generates quantifiable revenue from AI-related services — tech-empowerment income grew 55.3% YoY to RMB830M, powered by AI-driven credit decisioning and risk management tools provided to financial institution partners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LexinFintech Q1 2026 Earnings Release — Revenue RMB3.31B (+6.6% YoY), Net Income RMB201M (-53.2% YoY), Loan Originations RMB57.9B (+12.2%), May 2026</w:t>
      </w:r>
    </w:p>
    <w:p>
      <w:pPr>
        <w:spacing w:before="20" w:after="20"/>
        <w:ind w:left="170"/>
      </w:pPr>
      <w:r>
        <w:rPr>
          <w:rFonts w:ascii="Calibri" w:hAnsi="Calibri"/>
          <w:b/>
          <w:color w:val="4A6B25"/>
          <w:sz w:val="15"/>
        </w:rPr>
        <w:t xml:space="preserve">2. </w:t>
      </w:r>
      <w:r>
        <w:rPr>
          <w:rFonts w:ascii="Calibri" w:hAnsi="Calibri"/>
          <w:b w:val="0"/>
          <w:color w:val="3A4A28"/>
          <w:sz w:val="17"/>
        </w:rPr>
        <w:t>LexinFintech AI Deployment and CEO Strategy — 50+ Roles Optimized with AI Agents, $50M Buyback, 30% Payout Ratio, 2025-2026</w:t>
      </w:r>
    </w:p>
    <w:p>
      <w:pPr>
        <w:spacing w:before="20" w:after="20"/>
        <w:ind w:left="170"/>
      </w:pPr>
      <w:r>
        <w:rPr>
          <w:rFonts w:ascii="Calibri" w:hAnsi="Calibri"/>
          <w:b/>
          <w:color w:val="4A6B25"/>
          <w:sz w:val="15"/>
        </w:rPr>
        <w:t xml:space="preserve">3. </w:t>
      </w:r>
      <w:r>
        <w:rPr>
          <w:rFonts w:ascii="Calibri" w:hAnsi="Calibri"/>
          <w:b w:val="0"/>
          <w:color w:val="3A4A28"/>
          <w:sz w:val="17"/>
        </w:rPr>
        <w:t>LexinFintech Regulatory Environment — Seeking Alpha Analysis, Chinese Online Lending Tightening, Fee Caps, Funding Partner Requirements</w:t>
      </w:r>
    </w:p>
    <w:p>
      <w:pPr>
        <w:spacing w:before="20" w:after="20"/>
        <w:ind w:left="170"/>
      </w:pPr>
      <w:r>
        <w:rPr>
          <w:rFonts w:ascii="Calibri" w:hAnsi="Calibri"/>
          <w:b/>
          <w:color w:val="4A6B25"/>
          <w:sz w:val="15"/>
        </w:rPr>
        <w:t xml:space="preserve">4. </w:t>
      </w:r>
      <w:r>
        <w:rPr>
          <w:rFonts w:ascii="Calibri" w:hAnsi="Calibri"/>
          <w:b w:val="0"/>
          <w:color w:val="3A4A28"/>
          <w:sz w:val="17"/>
        </w:rPr>
        <w:t>LexinFintech Corporate Mission and History — Financial Inclusion for Young Adults, DCF Modeling Company Profile</w:t>
      </w:r>
    </w:p>
    <w:p>
      <w:pPr>
        <w:spacing w:before="20" w:after="20"/>
        <w:ind w:left="170"/>
      </w:pPr>
      <w:r>
        <w:rPr>
          <w:rFonts w:ascii="Calibri" w:hAnsi="Calibri"/>
          <w:b/>
          <w:color w:val="4A6B25"/>
          <w:sz w:val="15"/>
        </w:rPr>
        <w:t xml:space="preserve">5. </w:t>
      </w:r>
      <w:r>
        <w:rPr>
          <w:rFonts w:ascii="Calibri" w:hAnsi="Calibri"/>
          <w:b w:val="0"/>
          <w:color w:val="3A4A28"/>
          <w:sz w:val="17"/>
        </w:rPr>
        <w:t>LexinFintech ESG Recognition — Asian Banker Corporate Commitment Certificate, December 2021</w:t>
      </w:r>
    </w:p>
    <w:p>
      <w:pPr>
        <w:spacing w:before="20" w:after="20"/>
        <w:ind w:left="170"/>
      </w:pPr>
      <w:r>
        <w:rPr>
          <w:rFonts w:ascii="Calibri" w:hAnsi="Calibri"/>
          <w:b/>
          <w:color w:val="4A6B25"/>
          <w:sz w:val="15"/>
        </w:rPr>
        <w:t xml:space="preserve">6. </w:t>
      </w:r>
      <w:r>
        <w:rPr>
          <w:rFonts w:ascii="Calibri" w:hAnsi="Calibri"/>
          <w:b w:val="0"/>
          <w:color w:val="3A4A28"/>
          <w:sz w:val="17"/>
        </w:rPr>
        <w:t>StockAnalysis.com — LX Key Statistics, Forward PE 2.82, D/E 33%, ROE 7.47%,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