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MAR</w:t>
      </w:r>
      <w:r>
        <w:rPr>
          <w:rFonts w:ascii="Calibri" w:hAnsi="Calibri"/>
          <w:b/>
          <w:color w:val="1A2010"/>
          <w:sz w:val="40"/>
        </w:rPr>
        <w:t xml:space="preserve">  Marriott International, Inc.</w:t>
      </w:r>
    </w:p>
    <w:p>
      <w:pPr>
        <w:spacing w:after="120"/>
      </w:pPr>
      <w:r>
        <w:rPr>
          <w:rFonts w:ascii="Calibri" w:hAnsi="Calibri"/>
          <w:b/>
          <w:color w:val="6E8450"/>
          <w:sz w:val="18"/>
        </w:rPr>
        <w:t>GROWTH SLEEVE · 2026-07-26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NASDAQ · United States</w:t>
      </w:r>
    </w:p>
    <w:p>
      <w:pPr>
        <w:spacing w:after="80"/>
      </w:pPr>
      <w:r>
        <w:rPr>
          <w:rFonts w:ascii="Calibri" w:hAnsi="Calibri"/>
          <w:b w:val="0"/>
          <w:color w:val="3A4A28"/>
          <w:sz w:val="20"/>
        </w:rPr>
        <w:t>Marriott International operates, franchises, and licenses hotel, residential, and timeshare properties under approximately 30 brand names including Marriott, Sheraton, Westin, W Hotels, The Ritz-Carlton, St. Regis, and Courtyard. With 9,900+ properties and 1.8 million rooms across 141 countries, it is the world's largest hotel company. The asset-light franchise/management model generates fee-based revenue from 283 million Bonvoy loyalty members. Founded in 1927, headquartered in Bethesda, Maryland.</w:t>
      </w:r>
    </w:p>
    <w:p>
      <w:r>
        <w:rPr>
          <w:rFonts w:ascii="Calibri" w:hAnsi="Calibri"/>
          <w:b/>
          <w:color w:val="6E8450"/>
          <w:sz w:val="18"/>
        </w:rPr>
        <w:t>413,000 Employees · https://www.marriott.com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Marriott executed the transformative $13.3B Starwood merger creating the world's largest hotel company, acquired Apple Leisure Group to enter all-inclusive resorts, and launched Homes &amp; Villas by Marriott Bonvoy to compete with Airbnb — meaningful strategic expansions but not business-model redefinitions [1][2]. AI Deployment (1/2): Marriott is executing a multiyear digital transformation with AI agents for revenue management, guest personalization, and chatbot-driven service across brands; CEO Capuano describes AI as a 'long-term opportunity that could reshape how hotels acquire, serve and retain guests,' but no quantified AI-specific revenue gains reported yet [3]. Market Share (2/2): World's largest hotel company with 1,796,000 rooms across 9,900+ properties and 283 million Bonvoy loyalty members — clear category leader with growing share through net room additions of 4.5% YoY [1]. Product Pipeline (2/2): Development pipeline of 4,107 properties representing 618,000 rooms provides exceptional visibility into future growth, with ~15,900 net rooms added in Q1 2026 alone [1]. R&amp;D Intensity (0/1): Hospitality industry does not traditionally report R&amp;D spending; Marriott's technology transformation investment is meaningful but below tech-sector benchmarks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Marriott's purpose is rooted in founder J. Willard Marriott's 1927 founding principle of 'putting people first' and formalized through the 'Serve 360: Doing Good in Every Direction' platform, which connects hospitality to community service, environmental stewardship, and workforce development — specific, thoughtful, and clearly shaped by nearly a century of family heritage [4]. Community Impact (1/2): Serve 360 platform encompasses community volunteering, sustainability targets (science-based emissions reduction), and supplier diversity programs, though specific dollar amounts for charitable giving were not identified in recent disclosures [4]. Employee Retention (1/2): Glassdoor rating of 3.9/5 with 72% recommending to a friend is solid for hospitality; 413,000-person workforce with stable leadership under CEO Capuano (since 2021), though no specific tenure or voluntary turnover data is publicly available [3]. Insider Buying (0/2): Net insider selling dominates — CEO Capuano sold 112,177 shares in 2026 for $40.3M (35.7% position reduction), with $34M+ in total insider sales over the last 90 days and zero insider purchases on record in the past 5 years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(D/E and ROE excluded — negative shareholders' equity from $16.5B debt against buyback-depleted equity base makes both metrics undefined). Q1 2026 delivered $6.65B total revenue (up 6.2% YoY), $1,398M adjusted EBITDA (up 15% YoY), and adjusted EPS of $2.72 (up 17% YoY) [1]. Fee-based revenue of $7.18B TTM with 36% net margin demonstrates the power of the asset-light franchise model. Forward P/E of 31.53 and PEG of 2.39 reflect premium valuation. Free cash flow of $2.47B supports $1.1B YTD share repurchases and $2.68/share annual dividend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Marriott operates with genuine purpose rooted in nearly a century of Marriott family heritage, and the Serve 360 platform reflects real intentionality. However, recent leadership decisions — massive insider selling by CEO Capuano, aggressive share buybacks creating negative equity, and optimization for quarterly earnings growth — reflect finite game thinking. The company has demonstrated strategic flexibility through the Starwood merger and asset-light transformation, but competitive language consistently emphasizes being the 'world's largest' rather than the world's best.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Marriott's founding purpose of 'putting people first,' established by J. Willard Marriott in 1927 and formalized through the Serve 360 platform, is genuine and distinctive — it connects hospitality to community service and has shaped the company's identity for nearly a century [4]. The purpose survived the founder's death, the Starwood merger, and the COVID crisis. However, the Marriott family's operational control has diminished (David Marriott serves as Board Chairman but executive leadership has shifted to professional managers), and recent capital allocation priorities (massive buybacks, negative equity) suggest shareholder returns increasingly take precedence over the founding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with 72% recommending indicates an adequate work environment [3]. Leadership has been relatively stable since CEO Capuano took over after Arne Sorenson's passing in 2021, and the culture emphasizes diversity and mentorship. However, the hospitality industry inherently has high turnover at the property level, and Marriott's franchise model means most associates work for franchisees, not Marriott directly, limiting the company's ability to build deep organizational trust across the system.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Marriott's competitive language consistently emphasizes scale dominance — 'world's largest hotel company,' largest loyalty program, most rooms. Earnings calls focus on market share gains and competitive positioning against Hilton and Hyatt rather than learning from competitors' strengths [1]. The response to Airbnb was launching Homes &amp; Villas to 'compete' rather than acknowledging what home-sharing revealed about traveler preferences. This is classic 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Marriott has evolved significantly — from a root beer stand to a hotel chain to an asset-light franchise/management platform. The Starwood merger doubled its size and the pivot to asset-light operations (selling owned properties, retaining management contracts) fundamentally changed the business model [2]. The entry into all-inclusive resorts and home-sharing shows willingness to expand beyond traditional lodging. However, these pivots were incremental and market-driven rather than cause-driven transformative bets.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Marriott demonstrated courage during COVID by retaining core talent and investing in technology transformation during the downturn rather than purely cutting costs [3]. The $13.3B Starwood acquisition was a bold bet that redefined the competitive landscape. However, CEO Capuano's 112,177-share sell-off in 2026 ($40.3M) while the stock trades near all-time highs signals personal risk reduction rather than conviction [5]. Capital allocation has prioritized $1.1B+ in annual buybacks over long-term investments, reflecting quarterly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Marriott delivered a strong Q1 2026 with $6.65B total revenue (up 6.2% YoY), adjusted EBITDA of $1,398M (up 15% YoY), and adjusted EPS of $2.72 beating consensus by 6.5% [1]. The asset-light franchise model generates exceptional profitability — 36% net margin on $7.18B TTM fee-based revenue and $2.47B free cash flow — while 4,107 properties and 618,000 rooms in the development pipeline provide multi-year visibility into compounding franchise fee growth. At $98.7B market cap, Marriott is the undisputed global lodging leader with 283 million Bonvoy members, 4.5% net room growth, and raised full-year adjusted EPS guidance to $11.51 midpoint [1][6].</w:t>
      </w:r>
    </w:p>
    <w:p>
      <w:pPr>
        <w:spacing w:after="120"/>
      </w:pPr>
      <w:r>
        <w:rPr>
          <w:rFonts w:ascii="Calibri" w:hAnsi="Calibri"/>
          <w:b w:val="0"/>
          <w:color w:val="3A4A28"/>
          <w:sz w:val="20"/>
        </w:rPr>
        <w:t>Valuation remains demanding at 31.5x forward earnings and 2.39 PEG on only 6.2% revenue growth, leaving minimal margin of safety against travel demand softening [6]. Negative shareholders' equity ($16.5B debt, buyback-depleted equity, 0.46 current ratio) creates financial fragility in a prolonged downturn. Management's guidance acknowledged potential for significant RevPAR deterioration with Middle East volatility introducing regional risk [1]. Heavy insider selling — CEO Capuano dumped $40.3M in shares in 2026 with zero purchases across five years of trading activity — raises questions about leadership's own conviction at current prices. The 2.06% short interest, while modest, adds to caution signals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Development pipeline of 618,000 rooms (34% of current system) converting to fee-paying properties over 3-5 years, driving mid-single-digit net unit growth and compounding franchise fees without capital expenditure</w:t>
      </w:r>
    </w:p>
    <w:p>
      <w:pPr>
        <w:spacing w:before="40" w:after="40"/>
        <w:ind w:left="283"/>
      </w:pPr>
      <w:r>
        <w:rPr>
          <w:rFonts w:ascii="Calibri" w:hAnsi="Calibri"/>
          <w:b/>
          <w:color w:val="4A6B25"/>
          <w:sz w:val="20"/>
        </w:rPr>
        <w:t xml:space="preserve">2. </w:t>
      </w:r>
      <w:r>
        <w:rPr>
          <w:rFonts w:ascii="Calibri" w:hAnsi="Calibri"/>
          <w:b w:val="0"/>
          <w:color w:val="3A4A28"/>
          <w:sz w:val="20"/>
        </w:rPr>
        <w:t>Multiyear AI and cloud technology transformation producing operational efficiencies across revenue management, guest personalization, and property-level cost optimization — with full-year EBITDA guidance of $5.93B midpoint reflecting 15%+ growth</w:t>
      </w:r>
    </w:p>
    <w:p>
      <w:pPr>
        <w:spacing w:before="40" w:after="40"/>
        <w:ind w:left="283"/>
      </w:pPr>
      <w:r>
        <w:rPr>
          <w:rFonts w:ascii="Calibri" w:hAnsi="Calibri"/>
          <w:b/>
          <w:color w:val="4A6B25"/>
          <w:sz w:val="20"/>
        </w:rPr>
        <w:t xml:space="preserve">3. </w:t>
      </w:r>
      <w:r>
        <w:rPr>
          <w:rFonts w:ascii="Calibri" w:hAnsi="Calibri"/>
          <w:b w:val="0"/>
          <w:color w:val="3A4A28"/>
          <w:sz w:val="20"/>
        </w:rPr>
        <w:t>Bonvoy loyalty program reaching 283 million members with increasing co-brand credit card revenue and direct booking share reducing OTA distribution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2.39 and 31.5x forward PE on 6% revenue growth implies the stock is priced for acceleration that hasn't materialized — any macro-driven travel slowdown could trigger significant multiple compression from premium levels</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shareholders' equity from $16.5B in debt and aggressive buybacks creates balance sheet fragility; the 0.46 current ratio and 3.57x debt/EBITDA leave limited cushion in a sustained recession or credit tightening cycle</w:t>
      </w:r>
    </w:p>
    <w:p>
      <w:pPr>
        <w:spacing w:before="40" w:after="40"/>
        <w:ind w:left="283"/>
      </w:pPr>
      <w:r>
        <w:rPr>
          <w:rFonts w:ascii="Calibri" w:hAnsi="Calibri"/>
          <w:b/>
          <w:color w:val="4A6B25"/>
          <w:sz w:val="20"/>
        </w:rPr>
        <w:t xml:space="preserve">3. </w:t>
      </w:r>
      <w:r>
        <w:rPr>
          <w:rFonts w:ascii="Calibri" w:hAnsi="Calibri"/>
          <w:b w:val="0"/>
          <w:color w:val="3A4A28"/>
          <w:sz w:val="20"/>
        </w:rPr>
        <w:t>Concentrated insider selling — CEO sold $40.3M in shares YTD 2026 with no offsetting purchases across the C-suite — combined with decelerating RevPAR growth signals suggest informed skepticism about near-term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Marriott's core business — operating 1.8 million physical hotel rooms across 141 countries — is structurally immune to AI substitution. Hospitality requires physical infrastructure, housekeeping, food service, and in-person guest experiences that AI cannot replicate [3]. The 283-million-member Bonvoy loyalty ecosystem and direct booking channel provide defense against AI-powered travel intermediaries. Some booking disintermediation risk exists as AI travel agents could reduce reliance on hotel brand websites, but Marriott's scale and loyalty lock-in mitigate this. Revenue management, pricing, and operations have always been data-driven, making AI an operational enhancer rather than existential threat [3]. AI Opportunity (1/1): Marriott is deploying generative AI across revenue management, dynamic pricing, chatbot-driven guest services, and property-level operations optimization through its multiyear technology transformation — real deployment beyond exploration, though specific AI revenue figures are not yet quantified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Marriott International Q1 2026 Earnings Release — prnewswire.com, May 6, 2026</w:t>
      </w:r>
    </w:p>
    <w:p>
      <w:pPr>
        <w:spacing w:before="20" w:after="20"/>
        <w:ind w:left="170"/>
      </w:pPr>
      <w:r>
        <w:rPr>
          <w:rFonts w:ascii="Calibri" w:hAnsi="Calibri"/>
          <w:b/>
          <w:color w:val="4A6B25"/>
          <w:sz w:val="15"/>
        </w:rPr>
        <w:t xml:space="preserve">2. </w:t>
      </w:r>
      <w:r>
        <w:rPr>
          <w:rFonts w:ascii="Calibri" w:hAnsi="Calibri"/>
          <w:b w:val="0"/>
          <w:color w:val="3A4A28"/>
          <w:sz w:val="17"/>
        </w:rPr>
        <w:t>Marriott International Investor Relations — marriott.gcs-web.com, Q1 2026 Results Detail</w:t>
      </w:r>
    </w:p>
    <w:p>
      <w:pPr>
        <w:spacing w:before="20" w:after="20"/>
        <w:ind w:left="170"/>
      </w:pPr>
      <w:r>
        <w:rPr>
          <w:rFonts w:ascii="Calibri" w:hAnsi="Calibri"/>
          <w:b/>
          <w:color w:val="4A6B25"/>
          <w:sz w:val="15"/>
        </w:rPr>
        <w:t xml:space="preserve">3. </w:t>
      </w:r>
      <w:r>
        <w:rPr>
          <w:rFonts w:ascii="Calibri" w:hAnsi="Calibri"/>
          <w:b w:val="0"/>
          <w:color w:val="3A4A28"/>
          <w:sz w:val="17"/>
        </w:rPr>
        <w:t>Marriott AI Strategy and Technology Transformation — CIO Dive, Hospitality.today, Hotel Technology News, 2026</w:t>
      </w:r>
    </w:p>
    <w:p>
      <w:pPr>
        <w:spacing w:before="20" w:after="20"/>
        <w:ind w:left="170"/>
      </w:pPr>
      <w:r>
        <w:rPr>
          <w:rFonts w:ascii="Calibri" w:hAnsi="Calibri"/>
          <w:b/>
          <w:color w:val="4A6B25"/>
          <w:sz w:val="15"/>
        </w:rPr>
        <w:t xml:space="preserve">4. </w:t>
      </w:r>
      <w:r>
        <w:rPr>
          <w:rFonts w:ascii="Calibri" w:hAnsi="Calibri"/>
          <w:b w:val="0"/>
          <w:color w:val="3A4A28"/>
          <w:sz w:val="17"/>
        </w:rPr>
        <w:t>Marriott Serve 360 ESG Report and Sustainability Platform — serve360.marriott.com, 2024</w:t>
      </w:r>
    </w:p>
    <w:p>
      <w:pPr>
        <w:spacing w:before="20" w:after="20"/>
        <w:ind w:left="170"/>
      </w:pPr>
      <w:r>
        <w:rPr>
          <w:rFonts w:ascii="Calibri" w:hAnsi="Calibri"/>
          <w:b/>
          <w:color w:val="4A6B25"/>
          <w:sz w:val="15"/>
        </w:rPr>
        <w:t xml:space="preserve">5. </w:t>
      </w:r>
      <w:r>
        <w:rPr>
          <w:rFonts w:ascii="Calibri" w:hAnsi="Calibri"/>
          <w:b w:val="0"/>
          <w:color w:val="3A4A28"/>
          <w:sz w:val="17"/>
        </w:rPr>
        <w:t>Marriott Insider Trading Activity — InsiderTrades.com, MarketBeat, Benzinga,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MAR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