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MKSI</w:t>
      </w:r>
      <w:r>
        <w:rPr>
          <w:rFonts w:ascii="Calibri" w:hAnsi="Calibri"/>
          <w:b/>
          <w:color w:val="1A2010"/>
          <w:sz w:val="40"/>
        </w:rPr>
        <w:t xml:space="preserve">  MKS Inc.</w:t>
      </w:r>
    </w:p>
    <w:p>
      <w:pPr>
        <w:spacing w:after="120"/>
      </w:pPr>
      <w:r>
        <w:rPr>
          <w:rFonts w:ascii="Calibri" w:hAnsi="Calibri"/>
          <w:b/>
          <w:color w:val="6E8450"/>
          <w:sz w:val="18"/>
        </w:rPr>
        <w:t>GROWTH SLEEVE · 2026-07-28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NASDAQ · United States</w:t>
      </w:r>
    </w:p>
    <w:p>
      <w:pPr>
        <w:spacing w:after="80"/>
      </w:pPr>
      <w:r>
        <w:rPr>
          <w:rFonts w:ascii="Calibri" w:hAnsi="Calibri"/>
          <w:b w:val="0"/>
          <w:color w:val="3A4A28"/>
          <w:sz w:val="20"/>
        </w:rPr>
        <w:t>MKS Inc. (formerly MKS Instruments) provides foundational technology solutions for semiconductor manufacturing, electronics and packaging, and specialty industrial applications. Operating through Vacuum Solutions (VSD), Photonics Solutions (PSD), and Material Solutions (MSD) segments, the company's products touch 85% of semiconductor manufacturing steps and 70% of advanced packaging manufacturing steps. Founded in 1961 and headquartered in Andover, Massachusetts.</w:t>
      </w:r>
    </w:p>
    <w:p>
      <w:r>
        <w:rPr>
          <w:rFonts w:ascii="Calibri" w:hAnsi="Calibri"/>
          <w:b/>
          <w:color w:val="6E8450"/>
          <w:sz w:val="18"/>
        </w:rPr>
        <w:t>10,200 Employees · https://www.mks.com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MKS's 2022 acquisition of Atotech (~$6.5B) transformed the company from a pure semiconductor equipment supplier into an integrated solutions provider spanning vacuum, photonics, and advanced materials/chemistry [1]. Q1 2026 revenue of $1.078B grew 15% YoY with Electronics &amp; Packaging up 27%, validating the integration thesis as AI-driven demand accelerates [1]. AI Deployment (1/2): MKS's products are embedded in AI chip manufacturing infrastructure — critical subsystems for advanced lithography, metrology, and inspection tools. CEO John Lee highlighted proprietary chemistry as a key revenue generator for AI-driven HDI boards [2]. However, AI is not deployed internally for quantified cost savings. Market Share (2/2): MKS is category-defining in semiconductor process control, touching 85% of manufacturing steps and 70% of advanced packaging steps — breadth of coverage unmatched by any competitor [1]. Leadership positions in pressure measurement, flow control, gas delivery, power generation, and laser systems. Product Pipeline (1/2): Q2 2026 guidance of $1.2B (±$40M, ~11% sequential growth) with strong bookings across end markets and photonics design wins for advanced lithography tools providing visible growth vectors [1]. R&amp;D Intensity (1/1): MKS invests meaningfully in R&amp;D across all three segments, maintaining technology leadership against Advanced Energy and Coherent in critical semiconductor subsystems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MKS operates under cultural values branded 'I CARE' (Integrity, Collaboration, Accountability, Respect, Enthusiasm) and CEO John Lee has articulated a vision connecting innovation and inclusion as core pillars, stating 'We're uniquely positioned at the forefront of accelerating innovation' [2]. The mission connects the company's work to enabling technological progress, but 'Grow, Win, Innovate, Own' as guiding principles include inherently finite concepts. Community Impact (1/2): Named to Newsweek/Statista's America's Most Responsible Companies and U.S. News Best Companies to Work For three consecutive years; committed to 42% Scope 1+2 emissions reduction by 2030 under SBTi alignment, with expanded renewable energy procurement across Massachusetts sites [3]. Employee Retention (2/2): Three consecutive years as U.S. News Best Company to Work For and Glassdoor rating of 4.0/5 across 400 reviews indicate above-average satisfaction [2]. CEO Lee's emphasis on inclusion ('no matter where you are, which country you're in, you will be included') and the company's 65-year operating history (founded 1961) demonstrate institutional stability across a 10,200-person global workforce. Insider Buying (1/2): CEO Lee has meaningful equity exposure through compensation and the company has maintained consistent dividend payments since 2011, though no evidence of significant net open-market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of $1.078B grew 15% YoY with non-GAAP EPS of $2.30 beating estimates by 12.75%, and Q2 guidance of $1.2B implies continued acceleration driven by AI semiconductor demand [1]. Forward P/E of 27.15 is above the 20 target but reasonable for a semiconductor equipment company with structural AI tailwinds (metric score 0.82). D/E of 165% reflects the Atotech acquisition debt burden but has improved from peak levels as the company deleverages toward its 2.5x net leverage target. ROE of 11.70% is below the 15% target but improving as earnings recover. Profit margin of 7.50% remains compressed by interest expense from $4.5B in debt. Forward PEG estimated at 1.5 is moderate for a cyclical growth name. Revenue growth 5yr CAGR of 3.5% understates the current trajectory, as Q1 2026 15% YoY growth demonstrates accelerating demand. Liquidity easily cleared: 1.34M avg volume x $320 = $429M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MKS has survived and evolved over 65 years (founded 1961) through multiple semiconductor cycles, demonstrating institutional resilience. The Atotech acquisition was a bold transformative bet that temporarily stressed the balance sheet but is now delivering results. CEO John Lee's emphasis on innovation, inclusion, and the 'I CARE' values reflects genuine commitment to building a company that endures, though the heavy debt load and 'Grow, Win' language introduce finite-game tension.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MKS's purpose — enabling the technology that powers modern life through foundational manufacturing solutions — has been validated by 65 years of continuous operation through multiple semiconductor boom-bust cycles, industry transformations, and leadership transitions [2][3]. The company has consistently invested in enabling semiconductor and electronics manufacturing even during severe cyclical downturns. However, the articulation through 'Grow, Win, Innovate, Own' principles includes inherently finite concepts ('Win'), preventing the highest score. The cause is genuine and enduring but not yet transformative in Sinek's terms.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Three consecutive years as U.S. News Best Company to Work For, Glassdoor 4.0/5 across 400 reviews, and CEO Lee's explicit emphasis on inclusion across the global 10,200-person workforce suggest above-average trust [2][3]. The 'I CARE' cultural framework (Integrity, Collaboration, Accountability, Respect, Enthusiasm) provides organizational structure for psychological safety. However, Glassdoor reviews note centralized decision-making ('CEO has to approve of every hire') and some cultural concerns, suggesting trust varies significantly across the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MKS competes against Advanced Energy, Coherent, and Brooks Automation in semiconductor equipment subsystems. No evidence of management explicitly acknowledging these rivals' strengths as motivation for self-improvement [2]. Competitive language focuses on MKS's breadth advantage (85% of manufacturing steps) and proprietary chemistry rather than learning from competitors — a finite competitive framing.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2022 Atotech acquisition (~$6.5B) was a genuinely transformative bet that expanded MKS from semiconductor equipment into advanced materials and chemistry for electronics manufacturing, fundamentally changing the company's scope and creating the Material Solutions Division [1]. The company has evolved from instruments to integrated subsystems over 65 years. However, the transformation was partly financial engineering (debt-funded) rather than purely mission-driven, and the 2023 goodwill write-down revealed execution risk.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John Lee demonstrated courage in pursuing the Atotech acquisition at a premium during semiconductor cycle uncertainty, betting that integrated solutions would command higher margins [1]. Maintaining R&amp;D investment during the 2023 downturn (when the company posted a -$1.84B net loss from goodwill write-downs) showed commitment to long-term capability over short-term optics. However, the $4.5B debt burden constrains future courageous capital allocation and the premium paid for Atotech resulted in significant value destruction before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MKS Inc. is a 'picks-and-shovels' beneficiary of the AI semiconductor buildout, with products touching 85% of chip manufacturing steps and 70% of advanced packaging processes [1]. Q1 2026 delivered a strong beat with revenue of $1.078B (up 15% YoY), non-GAAP EPS of $2.30 (beating estimates by 12.75%), and Q2 guidance of $1.2B revenue with $2.90 EPS implies accelerating momentum [1]. The Electronics &amp; Packaging segment grew 27% YoY, driven by AI-driven demand for complex HDI boards and advanced packaging. The AI thesis upgrade from analysts in January 2026 ignited institutional interest, and the company's photonics design wins for advanced lithography position it for growth faster than the overall WFE market [2]. At a forward P/E of 27.15 with a PEG of ~1.5, valuation is reasonable for a semiconductor equipment company with structural AI tailwinds.</w:t>
      </w:r>
    </w:p>
    <w:p>
      <w:pPr>
        <w:spacing w:after="120"/>
      </w:pPr>
      <w:r>
        <w:rPr>
          <w:rFonts w:ascii="Calibri" w:hAnsi="Calibri"/>
          <w:b w:val="0"/>
          <w:color w:val="3A4A28"/>
          <w:sz w:val="20"/>
        </w:rPr>
        <w:t>The bear case centers on elevated leverage, cyclical risk, and stretched valuation. D/E of 165% and $4.5B in total debt from the Atotech acquisition continue to suppress profit margins to 7.50% versus a 20% target, and the trailing P/E of 65.35 reflects the gap between current and forward earnings that must close [4]. Revenue growth 5yr CAGR of just 3.5% reflects the semiconductor cyclicality that drove a -$1.84B net loss from goodwill write-downs in 2023, demonstrating how quickly the narrative can reverse. Advanced Energy's AI data center power solutions and Coherent's explosive growth in datacom lasers represent nimbler competitors capturing high-growth segments while MKS's debt constrains R&amp;D flexibility [2]. The forward P/E of 27.15 is above the 20 target, leaving minimal margin for error if semiconductor demand disappoints. China exposure creates additional tariff and export control risk — China-led sales have been a material growth driver subject to geopolitical disruption.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semiconductor capex acceleration with Q2 2026 guidance of $1.2B revenue (11% sequential growth) and strong bookings signaling continued momentum across semiconductor, electronics, and packaging end markets [1]</w:t>
      </w:r>
    </w:p>
    <w:p>
      <w:pPr>
        <w:spacing w:before="40" w:after="40"/>
        <w:ind w:left="283"/>
      </w:pPr>
      <w:r>
        <w:rPr>
          <w:rFonts w:ascii="Calibri" w:hAnsi="Calibri"/>
          <w:b/>
          <w:color w:val="4A6B25"/>
          <w:sz w:val="20"/>
        </w:rPr>
        <w:t xml:space="preserve">2. </w:t>
      </w:r>
      <w:r>
        <w:rPr>
          <w:rFonts w:ascii="Calibri" w:hAnsi="Calibri"/>
          <w:b w:val="0"/>
          <w:color w:val="3A4A28"/>
          <w:sz w:val="20"/>
        </w:rPr>
        <w:t>Photonics segment design wins for advanced lithography metrology and inspection tools, growing faster than the overall WFE market as AI chips require more sophisticated process control [1][2]</w:t>
      </w:r>
    </w:p>
    <w:p>
      <w:pPr>
        <w:spacing w:before="40" w:after="40"/>
        <w:ind w:left="283"/>
      </w:pPr>
      <w:r>
        <w:rPr>
          <w:rFonts w:ascii="Calibri" w:hAnsi="Calibri"/>
          <w:b/>
          <w:color w:val="4A6B25"/>
          <w:sz w:val="20"/>
        </w:rPr>
        <w:t xml:space="preserve">3. </w:t>
      </w:r>
      <w:r>
        <w:rPr>
          <w:rFonts w:ascii="Calibri" w:hAnsi="Calibri"/>
          <w:b w:val="0"/>
          <w:color w:val="3A4A28"/>
          <w:sz w:val="20"/>
        </w:rPr>
        <w:t>Debt deleveraging progress toward the 2.5x net leverage target, which would reduce interest expense drag on profit margins and free cash flow for R&amp;D investment and shareholder returns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 D/E of 165% and $4.5B debt from Atotech acquisition suppresses profit margins to 7.50% and constrains strategic flexibility, with refinancing risk if credit markets tighten [4]</w:t>
      </w:r>
    </w:p>
    <w:p>
      <w:pPr>
        <w:spacing w:before="40" w:after="40"/>
        <w:ind w:left="283"/>
      </w:pPr>
      <w:r>
        <w:rPr>
          <w:rFonts w:ascii="Calibri" w:hAnsi="Calibri"/>
          <w:b/>
          <w:color w:val="4A6B25"/>
          <w:sz w:val="20"/>
        </w:rPr>
        <w:t xml:space="preserve">2. </w:t>
      </w:r>
      <w:r>
        <w:rPr>
          <w:rFonts w:ascii="Calibri" w:hAnsi="Calibri"/>
          <w:b w:val="0"/>
          <w:color w:val="3A4A28"/>
          <w:sz w:val="20"/>
        </w:rPr>
        <w:t>Semiconductor cyclicality — the 2023 goodwill write-down of $1.84B demonstrates that even AI-driven demand can reverse quickly, and trailing P/E of 65x leaves significant multiple compression risk [4]</w:t>
      </w:r>
    </w:p>
    <w:p>
      <w:pPr>
        <w:spacing w:before="40" w:after="40"/>
        <w:ind w:left="283"/>
      </w:pPr>
      <w:r>
        <w:rPr>
          <w:rFonts w:ascii="Calibri" w:hAnsi="Calibri"/>
          <w:b/>
          <w:color w:val="4A6B25"/>
          <w:sz w:val="20"/>
        </w:rPr>
        <w:t xml:space="preserve">3. </w:t>
      </w:r>
      <w:r>
        <w:rPr>
          <w:rFonts w:ascii="Calibri" w:hAnsi="Calibri"/>
          <w:b w:val="0"/>
          <w:color w:val="3A4A28"/>
          <w:sz w:val="20"/>
        </w:rPr>
        <w:t>China revenue concentration creates geopolitical risk — export controls or tariffs could disrupt a material growth driver, while Advanced Energy and Coherent capture AI-adjacent segments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MKS is a direct beneficiary of AI infrastructure spending — its products are essential to manufacturing every AI chip, HBM memory module, and advanced package produced globally [1]. The company touches 85% of semiconductor manufacturing steps, meaning NVIDIA, AMD, and TSMC cannot produce AI accelerators without MKS equipment. AI increases demand for MKS products rather than threatening them, as advanced node manufacturing requires increasingly sophisticated process control, laser systems, and materials chemistry. CEO Lee emphasized MKS's unique positioning for 'incredibly thick boards, many layers of HDI boards' driven by AI [2]. No analyst reports identify AI substitution risk for semiconductor equipment suppliers. AI Opportunity (1/1): MKS generates quantifiable AI-related revenue through its semiconductor segment ($466M in Q1 2026, up 13% YoY) and Electronics &amp; Packaging segment (up 27% YoY), both directly benefiting from AI-driven demand for advanced chips and packaging [1]. Analysts upgraded MKS on an 'AI thesis' in January 2026, igniting institutional buying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MKS Inc. Q1 2026 Earnings Release — $1.078B revenue (up 15% YoY), non-GAAP EPS $2.30 (beat $2.04 by 12.75%), Q2 guidance $1.2B revenue, May 2026</w:t>
      </w:r>
    </w:p>
    <w:p>
      <w:pPr>
        <w:spacing w:before="20" w:after="20"/>
        <w:ind w:left="170"/>
      </w:pPr>
      <w:r>
        <w:rPr>
          <w:rFonts w:ascii="Calibri" w:hAnsi="Calibri"/>
          <w:b/>
          <w:color w:val="4A6B25"/>
          <w:sz w:val="15"/>
        </w:rPr>
        <w:t xml:space="preserve">2. </w:t>
      </w:r>
      <w:r>
        <w:rPr>
          <w:rFonts w:ascii="Calibri" w:hAnsi="Calibri"/>
          <w:b w:val="0"/>
          <w:color w:val="3A4A28"/>
          <w:sz w:val="17"/>
        </w:rPr>
        <w:t>MKS Inc. CEO John Lee commentary, AI thesis analyst upgrade, proprietary chemistry for HDI boards, Glassdoor 4.0/5 reviews — Investing.com, Yahoo Finance, Trefis, 2025-2026</w:t>
      </w:r>
    </w:p>
    <w:p>
      <w:pPr>
        <w:spacing w:before="20" w:after="20"/>
        <w:ind w:left="170"/>
      </w:pPr>
      <w:r>
        <w:rPr>
          <w:rFonts w:ascii="Calibri" w:hAnsi="Calibri"/>
          <w:b/>
          <w:color w:val="4A6B25"/>
          <w:sz w:val="15"/>
        </w:rPr>
        <w:t xml:space="preserve">3. </w:t>
      </w:r>
      <w:r>
        <w:rPr>
          <w:rFonts w:ascii="Calibri" w:hAnsi="Calibri"/>
          <w:b w:val="0"/>
          <w:color w:val="3A4A28"/>
          <w:sz w:val="17"/>
        </w:rPr>
        <w:t>MKS Inc. 2025 ESG Report — SBTi-aligned emissions targets, U.S. News Best Company to Work For 3 consecutive years, Newsweek Most Responsible Companies,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GuruFocus — MKSI Key Statistics: P/E 65.35, Forward P/E 27.15, D/E 165%, ROE 11.70%,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