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MOS</w:t>
      </w:r>
      <w:r>
        <w:rPr>
          <w:rFonts w:ascii="Calibri" w:hAnsi="Calibri"/>
          <w:b/>
          <w:color w:val="1A2010"/>
          <w:sz w:val="40"/>
        </w:rPr>
        <w:t xml:space="preserve">  The Mosaic Company</w:t>
      </w:r>
    </w:p>
    <w:p>
      <w:pPr>
        <w:spacing w:after="120"/>
      </w:pPr>
      <w:r>
        <w:rPr>
          <w:rFonts w:ascii="Calibri" w:hAnsi="Calibri"/>
          <w:b/>
          <w:color w:val="6E8450"/>
          <w:sz w:val="18"/>
        </w:rPr>
        <w:t>DIVIDEND SLEEVE · 2026-08-17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Agricultural Inputs · NYSE · United States</w:t>
      </w:r>
    </w:p>
    <w:p>
      <w:pPr>
        <w:spacing w:after="80"/>
      </w:pPr>
      <w:r>
        <w:rPr>
          <w:rFonts w:ascii="Calibri" w:hAnsi="Calibri"/>
          <w:b w:val="0"/>
          <w:color w:val="3A4A28"/>
          <w:sz w:val="20"/>
        </w:rPr>
        <w:t>The Mosaic Company produces and markets concentrated phosphate and potash crop nutrients through three segments: Phosphates, Potash, and Mosaic Fertilizantes. The company operates mines and processing facilities in the U.S., Brazil, and Canada, serving global agricultural markets. Q2 2026 results reflected severe margin compression with a $273M net loss driven by elevated sulfur costs from the Strait of Hormuz disruption, though potash operations remained profitable with $278M adjusted EBITDA. Mosaic Biosciences continues targeting $130M+ revenue in 2026 with high-margin biological crop nutrition products.</w:t>
      </w:r>
    </w:p>
    <w:p>
      <w:r>
        <w:rPr>
          <w:rFonts w:ascii="Calibri" w:hAnsi="Calibri"/>
          <w:b/>
          <w:color w:val="6E8450"/>
          <w:sz w:val="18"/>
        </w:rPr>
        <w:t>13,000 Employees · https://www.mosaicco.com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Mosaic Biosciences doubled net sales to $68M in 2025 with 40%+ gross margins and launched five new products across 16 countries, targeting $130M+ revenue in 2026 with 8-10 new microbial product launches [1][2]. The Rainbow Rare Earths partnership to extract rare earth elements from phosphogypsum at Uberaba in Brazil represents novel diversification into critical minerals. However, Q2 2026 exposed the core fertilizer business as a cyclical commodity operation vulnerable to input cost shocks. AI Deployment (0/2): No evidence of AI-powered products or quantified AI-driven cost savings. CEO Bodine discusses AI-driven farming as a future direction for agriculture broadly, but Mosaic has not deployed commercially meaningful AI capabilities [2]. Market Share (1/2): Major global phosphate and potash producer with low-cost potash at $75/ton at Esterhazy and record phosphate rock production at Miski Mayo, but Q2 2026 showed competitive vulnerability with phosphate production curtailments and a $104M operating loss in the phosphate segment [1]. Product Pipeline (1/2): Biosciences is launching 8-10 new microbial technology products in 2026 and the rare earth extraction partnership provides long-term diversification, but the core fertilizer business lacks next-generation product visibility [2]. R&amp;D Intensity (1/1): R&amp;D spending through Mosaic Biosciences and rare earth extraction initiative demonstrates above-average investment for the fertilizer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Mosaic's purpose of 'helping the world grow the food it needs' is clear and connects to a fundamental human need, but it is not distinctive — it reads as a standard industry purpose statement indistinguishable from any fertilizer producer [2]. Community Impact (1/2): Mosaic operates the Mosaic Company Foundation focused on agricultural education and community development in Tampa, Saskatchewan, and Brazil, and has set refreshed 2030 sustainability targets around People, Earth, and Innovation including soil health across 100+ million acres [3]. Employee Retention (1/2): CEO Bruce Bodine, promoted internally in January 2024, brings 30+ years of global mining and fertilizer operating experience and provides leadership continuity. The 13,000-employee workforce operates stable mining operations across three continents, though Brazilian operations remain idled at Araxa and Fospar [2]. Insider Buying (1/2): Notable insider purchases in 2025-2026 include Director Kuzenko ($210K), Director Westbrook ($108K), and Director Beebe ($175K), demonstrating meaningful board-level conviction at cyclical trough valuations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D/E of 48.2% scores 1.0 (excellent leverage, well below 70% target) [4]. ROE has deteriorated to approximately -1% on a trailing basis following the $273M Q2 2026 net loss, scoring 0.0 (below 0% floor) [1]. Revenue declined 6% YoY to $2,824M in Q2 2026 from $3,006M in Q2 2025, scoring 0.47 [1]. Forward P/E of 16.24 scores 1.0 (well below 20 target), reflecting analyst expectations for earnings recovery [4]. Profit margin has collapsed to approximately -1% on a trailing basis with Q2's massive loss, scoring 0.0 [1]. Payout ratio is mathematically unsustainable with negative trailing earnings, scoring 0.0 (1x weight). Consecutive years paid of 19 scores 1.0 (2x weight). Consecutive years growth of 2 scores 0.20 (1x weight). 5yr dividend growth CAGR of 34.6% scores 1.0 (2x weight). Weighted sum: 1.0+0.0+0.47+1.0+0.0+0.0+2.0+0.20+2.0 = 6.67 out of 11 available weights (excl 5yr rev CAGR). Score: 6.67/11 x 10 = 6.1, rounds to 6. Daily dollar volume of ~$221M provides adequate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Mosaic's role in global food security provides an enduring purpose, but the highly cyclical commodity business model forces short-term decisions — Q2 2026's $273M net loss, phosphate production curtailments, and idled Brazilian operations demonstrate how finite-game pressures dominate. CEO Bodine's focus on operational 'fortification' prioritizes efficiency and cost discipline over visionary transformation. The company is built to survive commodity cycles rather than transcend them.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Feeding the world through crop nutrient production addresses a fundamental human need, but Mosaic articulates this as a business purpose rather than a transformative Just Cause [2]. The mission is real — crops need phosphorus and potassium — but it doesn't describe a future state that does not yet exist. Mosaic produces a commodity input, and its purpose is indistinguishable from any fertilizer producer. Sinek would say this is a clear mission,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Mosaic's ~13,000 employees operate stable mining operations with leadership continuity under CEO Bruce Bodine, who was promoted internally and brings 30+ years of global mining experience [2]. Potash production at Esterhazy reached its highest level since 2019 and Miski Mayo achieved record phosphate rock output, demonstrating operational competence. However, idling Araxa and Fospar operations in Brazil and the Q2 2026 phosphate production curtailments at Bartow and Louisiana create workforce uncertainty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Mosaic competes in commodity markets where competition is primarily price-based rather than innovation-driven. The company's competitive language focuses on cost position ('$75/ton potash costs') and production records rather than learning from rivals [1]. No evidence of management referencing competitors' strengths as motivation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Mosaic Biosciences' expansion into microbial crop nutrition ($68M in 2025, targeting doubling in 2026 with 8-10 new product launches) and the Rainbow Rare Earths partnership for rare earth extraction from phosphogypsum represent meaningful diversification beyond commodity fertilizers [2]. The company sold the Carlsbad potash mine and is idling lowest-margin Brazilian operations, showing willingness to reshape the portfolio. However, the core business model of mining and processing fertilizer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curtailed phosphate production at Bartow and Louisiana plants in response to soaring sulfur costs rather than producing at a loss, demonstrating disciplined capital allocation even as it resulted in a $273M Q2 2026 net loss [1]. Pursuing record Esterhazy potash production while idling less profitable Brazilian operations shows strategic prioritization. However, these decisions are operationally rational rather than courageous — there are no examples of sacrificing near-term earnings for transformative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Mosaic at 16.2x forward earnings with a 4.71% dividend yield represents a deep cyclical value play at trough-level profitability, with forward estimates reflecting analyst consensus for earnings recovery as sulfur costs normalize and global phosphate and potash demand reaches record levels [1][4]. The company's low-cost potash production ($75/ton at Esterhazy), record Miski Mayo phosphate rock output, and $150M in cumulative cost savings provide operational leverage when commodity prices recover. Biosciences is targeting $130M+ in 2026 with 40%+ margins and 8-10 new product launches, providing high-margin diversification from commodity fertilizers [2]. Multiple board members purchased shares in 2025-2026 — Kuzenko ($210K), Westbrook ($108K), and Beebe ($175K) — signaling insider conviction at cyclical lows [3]. D/E of 48% provides substantial balance sheet flexibility for a commodity producer.</w:t>
      </w:r>
    </w:p>
    <w:p>
      <w:pPr>
        <w:spacing w:after="120"/>
      </w:pPr>
      <w:r>
        <w:rPr>
          <w:rFonts w:ascii="Calibri" w:hAnsi="Calibri"/>
          <w:b w:val="0"/>
          <w:color w:val="3A4A28"/>
          <w:sz w:val="20"/>
        </w:rPr>
        <w:t>The bear case reflects severe cyclical stress with no clear recovery timeline. Q2 2026 delivered a $273M net loss (-$0.86/share) as soaring sulfur and ammonia costs from the Strait of Hormuz disruption crushed phosphate stripping margins, forcing production curtailments at Bartow and Louisiana and creating a projected $250M EBITDA headwind [1]. Trailing ROE has turned negative at -1% and profit margin has collapsed to -1%, rendering the dividend unsustainable on current earnings — the annual payout exceeds trailing net income by a wide margin. Free cash flow turned negative at -$290M as working capital absorbed $960M in 2025, and net debt increased $829M. Brazilian Fertilizantes operations remain idled at Araxa and Fospar with no restart timeline, while credit constraints and Chinese phosphate import competition weigh on segment volumes. If sulfur costs persist or fertilizer prices decline further, a dividend cut becomes probable [1]. The 5yr dividend growth CAGR of 34.6% — earned during peak commodity conditions — is not sustainable at trough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Sulfur price normalization from Strait of Hormuz disruption levels, potentially restoring phosphate segment profitability from the $104M operating loss and validating the forward P/E of 16.2x recovery thesis [1]</w:t>
      </w:r>
    </w:p>
    <w:p>
      <w:pPr>
        <w:spacing w:before="40" w:after="40"/>
        <w:ind w:left="283"/>
      </w:pPr>
      <w:r>
        <w:rPr>
          <w:rFonts w:ascii="Calibri" w:hAnsi="Calibri"/>
          <w:b/>
          <w:color w:val="4A6B25"/>
          <w:sz w:val="20"/>
        </w:rPr>
        <w:t xml:space="preserve">2. </w:t>
      </w:r>
      <w:r>
        <w:rPr>
          <w:rFonts w:ascii="Calibri" w:hAnsi="Calibri"/>
          <w:b w:val="0"/>
          <w:color w:val="3A4A28"/>
          <w:sz w:val="20"/>
        </w:rPr>
        <w:t>Mosaic Biosciences targeting $130M+ revenue in 2026 (doubling from $68M in 2025) with 8-10 new microbial technology product launches providing high-margin diversification from commodity fertilizer cycles [2]</w:t>
      </w:r>
    </w:p>
    <w:p>
      <w:pPr>
        <w:spacing w:before="40" w:after="40"/>
        <w:ind w:left="283"/>
      </w:pPr>
      <w:r>
        <w:rPr>
          <w:rFonts w:ascii="Calibri" w:hAnsi="Calibri"/>
          <w:b/>
          <w:color w:val="4A6B25"/>
          <w:sz w:val="20"/>
        </w:rPr>
        <w:t xml:space="preserve">3. </w:t>
      </w:r>
      <w:r>
        <w:rPr>
          <w:rFonts w:ascii="Calibri" w:hAnsi="Calibri"/>
          <w:b w:val="0"/>
          <w:color w:val="3A4A28"/>
          <w:sz w:val="20"/>
        </w:rPr>
        <w:t>Potash segment strength (Q2 adjusted EBITDA $278M, 2.0M tonnes sold) and record Esterhazy production demonstrating that the core asset base remains highly competitive at $75/ton cash costs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in question — trailing earnings are negative and the payout ratio is mathematically unsustainable at current profitability levels, with persistent sulfur headwinds potentially forcing a dividend cut that would undermine the core income thesis [1]</w:t>
      </w:r>
    </w:p>
    <w:p>
      <w:pPr>
        <w:spacing w:before="40" w:after="40"/>
        <w:ind w:left="283"/>
      </w:pPr>
      <w:r>
        <w:rPr>
          <w:rFonts w:ascii="Calibri" w:hAnsi="Calibri"/>
          <w:b/>
          <w:color w:val="4A6B25"/>
          <w:sz w:val="20"/>
        </w:rPr>
        <w:t xml:space="preserve">2. </w:t>
      </w:r>
      <w:r>
        <w:rPr>
          <w:rFonts w:ascii="Calibri" w:hAnsi="Calibri"/>
          <w:b w:val="0"/>
          <w:color w:val="3A4A28"/>
          <w:sz w:val="20"/>
        </w:rPr>
        <w:t>Brazilian Fertilizantes operations remain idled at Araxa and Fospar with no restart timeline while Chinese phosphate import competition and credit constraints reduce segment volumes and strand invested capital [1]</w:t>
      </w:r>
    </w:p>
    <w:p>
      <w:pPr>
        <w:spacing w:before="40" w:after="40"/>
        <w:ind w:left="283"/>
      </w:pPr>
      <w:r>
        <w:rPr>
          <w:rFonts w:ascii="Calibri" w:hAnsi="Calibri"/>
          <w:b/>
          <w:color w:val="4A6B25"/>
          <w:sz w:val="20"/>
        </w:rPr>
        <w:t xml:space="preserve">3. </w:t>
      </w:r>
      <w:r>
        <w:rPr>
          <w:rFonts w:ascii="Calibri" w:hAnsi="Calibri"/>
          <w:b w:val="0"/>
          <w:color w:val="3A4A28"/>
          <w:sz w:val="20"/>
        </w:rPr>
        <w:t>Strait of Hormuz conflict escalation could sustain elevated sulfur and ammonia input costs that compressed Q2 2026 phosphate margins below variable costs, extending production curtailments and deepening losses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Mosaic's core business — mining phosphate and potash from underground deposits, processing them into fertilizer, and shipping physical product to agricultural markets — is structurally immune to AI disruption [1]. The operations require massive physical infrastructure (mines, chemical processing plants, port terminals, railways) that AI cannot substitute. Fertilizer demand is driven by biological necessity — crops need phosphorus and potassium regardless of technological advancement, and the global population continues to grow toward 9 billion by 2050. No analysts have flagged AI as a disruption risk; AI-driven precision agriculture improves fertilizer application efficiency without reducing overall demand. The AI data center buildout increases demand for rare earth elements, providing indirect tailwind to Mosaic's rare earth extraction partnership [2]. AI Opportunity (0/1): Mosaic does not generate revenue from AI-related products. CEO Bodine discusses AI-driven farming as a future opportunity for the agricultural industry broadly, but the company has not deployed commercially meaningful AI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Mosaic Q2 2026 Earnings — Revenue $2,824M (-6% YoY), Net Loss $273M, Adjusted EPS $0.13, Phosphate Operating Loss $104M, Potash EBITDA $278M, Sulfur Cost Headwinds, August 2026</w:t>
      </w:r>
    </w:p>
    <w:p>
      <w:pPr>
        <w:spacing w:before="20" w:after="20"/>
        <w:ind w:left="170"/>
      </w:pPr>
      <w:r>
        <w:rPr>
          <w:rFonts w:ascii="Calibri" w:hAnsi="Calibri"/>
          <w:b/>
          <w:color w:val="4A6B25"/>
          <w:sz w:val="15"/>
        </w:rPr>
        <w:t xml:space="preserve">2. </w:t>
      </w:r>
      <w:r>
        <w:rPr>
          <w:rFonts w:ascii="Calibri" w:hAnsi="Calibri"/>
          <w:b w:val="0"/>
          <w:color w:val="3A4A28"/>
          <w:sz w:val="17"/>
        </w:rPr>
        <w:t>Mosaic Company Strategy — CEO Bodine Leadership, Biosciences Targeting $130M+, Rare Earth Partnership, Cost Savings Programs, 2025-2026</w:t>
      </w:r>
    </w:p>
    <w:p>
      <w:pPr>
        <w:spacing w:before="20" w:after="20"/>
        <w:ind w:left="170"/>
      </w:pPr>
      <w:r>
        <w:rPr>
          <w:rFonts w:ascii="Calibri" w:hAnsi="Calibri"/>
          <w:b/>
          <w:color w:val="4A6B25"/>
          <w:sz w:val="15"/>
        </w:rPr>
        <w:t xml:space="preserve">3. </w:t>
      </w:r>
      <w:r>
        <w:rPr>
          <w:rFonts w:ascii="Calibri" w:hAnsi="Calibri"/>
          <w:b w:val="0"/>
          <w:color w:val="3A4A28"/>
          <w:sz w:val="17"/>
        </w:rPr>
        <w:t>Mosaic ESG and Insider Activity — 2030 Sustainability Targets, Tailings Standard, Board Purchases (Kuzenko $210K, Westbrook $108K, Beebe $175K),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MOS Key Statistics: Forward P/E 16.24x, D/E 48.2%, Stock Price $23.06,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