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MRVI</w:t>
      </w:r>
      <w:r>
        <w:rPr>
          <w:rFonts w:ascii="Calibri" w:hAnsi="Calibri"/>
          <w:b/>
          <w:color w:val="1A2010"/>
          <w:sz w:val="40"/>
        </w:rPr>
        <w:t xml:space="preserve">  Maravai LifeSciences Holdings, Inc.</w:t>
      </w:r>
    </w:p>
    <w:p>
      <w:pPr>
        <w:spacing w:after="120"/>
      </w:pPr>
      <w:r>
        <w:rPr>
          <w:rFonts w:ascii="Calibri" w:hAnsi="Calibri"/>
          <w:b/>
          <w:color w:val="6E8450"/>
          <w:sz w:val="18"/>
        </w:rPr>
        <w:t>GROWTH SLEEVE · 2026-08-02 · Inspire: 37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Life Sciences Tools &amp; Services · NASDAQ · United States</w:t>
      </w:r>
    </w:p>
    <w:p>
      <w:pPr>
        <w:spacing w:after="80"/>
      </w:pPr>
      <w:r>
        <w:rPr>
          <w:rFonts w:ascii="Calibri" w:hAnsi="Calibri"/>
          <w:b w:val="0"/>
          <w:color w:val="3A4A28"/>
          <w:sz w:val="20"/>
        </w:rPr>
        <w:t>Maravai LifeSciences Holdings, Inc. is a global provider of nucleic acid products and services supporting the development and manufacture of novel therapeutics, diagnostics, and vaccines. Operates through Nucleic Acid Production (TriLink BioTechnologies, maker of CleanCap mRNA capping technology and custom nucleic acids) and Biologics Safety Testing (Cygnus Technologies) segments. Founded in 2014, headquartered in San Diego, California.</w:t>
      </w:r>
    </w:p>
    <w:p>
      <w:r>
        <w:rPr>
          <w:rFonts w:ascii="Calibri" w:hAnsi="Calibri"/>
          <w:b/>
          <w:color w:val="6E8450"/>
          <w:sz w:val="18"/>
        </w:rPr>
        <w:t>500 Employees · https://www.maravai.com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CleanCap mRNA capping technology was transformative during the pandemic but the core product has not fundamentally evolved since; the 2024 acquisition of Officinae Bio's DNA and RNA synthesis business represents an incremental capability extension rather than a business model transformation [1][2]. AI Deployment (1/2): The Officinae Bio acquisition brought an AI-enabled sequence design team that integrates machine learning methodologies for nucleic acid optimization, and the company is implementing AI-enabled ERP, demand forecasting, and inventory planning systems, but no quantified revenue or cost savings from AI have been reported [2]. Market Share (1/2): TriLink holds a leading position in the niche CleanCap mRNA capping analog market, contributing 72% of Q1 2026 revenue, but the broader nucleic acid production market is dominated by larger players including Thermo Fisher and Danaher [1][3]. Product Pipeline (1/2): Expansion into synthetic DNA and RNA via Officinae Bio and ongoing CleanCap product extensions provide moderate pipeline visibility, but no specific next-generation products with named launch dates have been disclosed [2]. R&amp;D Intensity (0/1): R&amp;D spending data is not broken out separately in public filings, and the company's focus has been on operational restructuring and cost reduction rather than R&amp;D expansion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Maravai's stated purpose is to provide products and services that enable the development of innovative medicines and help protect public health — a clear mission connecting nucleic acid technology to therapeutic innovation, but not distinctive enough to differentiate from any life sciences tools peer [4]. Community Impact (0/2): The company's 2023 ESG report references sustainability commitments and Scope 3 emissions reporting but provides no evidence of specific community investment programs, charitable foundations, or dollar amounts for philanthropic activities [5]. Employee Retention (0/2): Glassdoor reviews indicate generally positive employee sentiment around culture and growth opportunities, but no specific retention rates, average tenure, or voluntary turnover data is publicly available [3]. Insider Buying (2/2): CEO Bernd Brust made a significant personal purchase of $809K worth of shares at $3.24 per share after his June 2025 appointment, and insiders have collectively bought $1.9M more in shares than they have sold over the last 12 months, demonstrating meaningful leadership conviction in the turnaround thesis [6].</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Q1 2026 revenue of $65.8M was up 41% YoY, though $14.3M came from one-time commercial COVID-19 vaccine CleanCap orders not expected to recur [1]. Management raised FY2026 guidance to $205-215M revenue and $30-32M adjusted EBITDA, a $30M+ YoY improvement, but the company remains GAAP-unprofitable with ROE of -48.6% and net profit margin of -70.4% [1][7]. D/E of 72% is near the 70% target after debt reduction. Revenue collapsed from $883M (2022 peak) to an estimated $170M (2025), yielding a deeply negative 5-year CAGR of approximately -24%. Forward P/E and PEG are not meaningful given current unprofitability. Liquidity floor cleared: 2.1M avg volume x $6.92 = $14.7M daily [7].</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Maravai is in survival and restructuring mode following the post-pandemic revenue collapse from $883M to under $200M. New CEO Bernd Brust's June 2025 appointment brought a $50M cost restructuring program and leadership overhaul focused on operational efficiency rather than long-term purpose. The company is playing to survive this quarter, not to keep playing indefinitely — a fundamentally finite posture, though the Officinae Bio acquisition suggests some strategic vision beyond cost-cutting.</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Maravai articulates a purpose around enabling nucleic acid medicine innovation and protecting public health, but this reads as standard industry positioning rather than a deeply held vision driving strategic decisions [4]. The company's actions — massive restructuring, leadership turnover, cost-cutting — suggest the current imperative is survival and profitability recovery, not advancing a cause. The purpose has not been tested through multi-decade consistency; Maravai was founded only in 2014.</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reviews indicate positive employee sentiment around work-life balance, culture, and growth opportunities [3]. However, the company underwent significant leadership turnover in 2025 with a new CEO, new operational leadership (Raj Asarpota from Illumina), and a $50M restructuring program that likely involved headcount reductions. This organizational instability creates uncertainty, though investment in people development and benefits is noted positively by employees.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Maravai's competitive positioning focuses on defending its CleanCap market niche and differentiating against larger peers like Thermo Fisher and Danaher, but competitive language centers on market positioning rather than learning from rivals' strengths or using competition for self-improvement [3].</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Maravai has shown some strategic flexibility — pivoting into mRNA vaccine supply during the pandemic, then restructuring post-pandemic with the Officinae Bio acquisition to expand into AI-enabled synthetic biology capabilities [2]. The transition away from COVID-dependency toward diversified nucleic acid products demonstrates incremental adaptation, though these moves were driven by market necessity rather than proactive vision.</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The leadership transition to CEO Brust in June 2025 and the $50M restructuring program represent necessary operational moves rather than courageous long-term investments [3]. No evidence of leadership sacrificing near-term results for long-term capability building; the current strategic focus is on cost reduction, margin improvement, and profitability — defensive moves that optimize for quarterly improvement rather than bold, long-term bets.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Maravai LifeSciences is executing a post-pandemic turnaround under new CEO Bernd Brust, with Q1 2026 delivering $65.8M revenue (41% YoY growth) that beat consensus by 24% and EPS of $0.01 beating estimates by $0.06 [1]. Management raised full-year 2026 guidance to $205-215M revenue and $30-32M adjusted EBITDA, representing a $30M+ improvement year-over-year. TriLink's CleanCap technology retains a leading position in mRNA capping with 72% of revenue, and the Officinae Bio acquisition adds AI-enabled DNA/RNA synthesis capabilities. The $50M restructuring is on track, and CEO Brust's $809K personal share purchase signals leadership conviction [6].</w:t>
      </w:r>
    </w:p>
    <w:p>
      <w:pPr>
        <w:spacing w:after="120"/>
      </w:pPr>
      <w:r>
        <w:rPr>
          <w:rFonts w:ascii="Calibri" w:hAnsi="Calibri"/>
          <w:b w:val="0"/>
          <w:color w:val="3A4A28"/>
          <w:sz w:val="20"/>
        </w:rPr>
        <w:t>The bear case centers on structural challenges: MRVI remains deeply unprofitable with -70% net margins and -49% ROE, and the 5-year revenue trajectory shows an 83% decline from the $883M 2022 pandemic peak [7]. Q1 2026 included $14.3M in one-time vaccine orders that management does not expect to recur, meaning underlying organic growth is closer to 10% than the reported 41% [1]. The company competes against much larger, better-capitalized players (Thermo Fisher, Danaher) in nucleic acid production, and customer concentration risk remains elevated. At $6.92 per share with no path to GAAP profitability visible before late 2027, the stock requires significant faith in the turnaround thesis and sustained biotech/pharma R&amp;D spending recovery.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Raised FY2026 guidance to $205-215M revenue with $30-32M adjusted EBITDA marking the first meaningful profitability inflection since the post-COVID decline</w:t>
      </w:r>
    </w:p>
    <w:p>
      <w:pPr>
        <w:spacing w:before="40" w:after="40"/>
        <w:ind w:left="283"/>
      </w:pPr>
      <w:r>
        <w:rPr>
          <w:rFonts w:ascii="Calibri" w:hAnsi="Calibri"/>
          <w:b/>
          <w:color w:val="4A6B25"/>
          <w:sz w:val="20"/>
        </w:rPr>
        <w:t xml:space="preserve">2. </w:t>
      </w:r>
      <w:r>
        <w:rPr>
          <w:rFonts w:ascii="Calibri" w:hAnsi="Calibri"/>
          <w:b w:val="0"/>
          <w:color w:val="3A4A28"/>
          <w:sz w:val="20"/>
        </w:rPr>
        <w:t>Growing pipeline of mRNA therapeutics in oncology, rare diseases, and personalized medicine driving secular demand for CleanCap and custom nucleic acid products beyond pandemic-era vaccine applications</w:t>
      </w:r>
    </w:p>
    <w:p>
      <w:pPr>
        <w:spacing w:before="40" w:after="40"/>
        <w:ind w:left="283"/>
      </w:pPr>
      <w:r>
        <w:rPr>
          <w:rFonts w:ascii="Calibri" w:hAnsi="Calibri"/>
          <w:b/>
          <w:color w:val="4A6B25"/>
          <w:sz w:val="20"/>
        </w:rPr>
        <w:t xml:space="preserve">3. </w:t>
      </w:r>
      <w:r>
        <w:rPr>
          <w:rFonts w:ascii="Calibri" w:hAnsi="Calibri"/>
          <w:b w:val="0"/>
          <w:color w:val="3A4A28"/>
          <w:sz w:val="20"/>
        </w:rPr>
        <w:t>AI-enabled DNA/RNA synthesis capabilities from Officinae Bio acquisition generating commercial revenue and differentiating against larger competitors in sequence design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GAAP unprofitability with -70% net margins and -49% ROE, with no clear timeline to positive net income even as adjusted EBITDA improves</w:t>
      </w:r>
    </w:p>
    <w:p>
      <w:pPr>
        <w:spacing w:before="40" w:after="40"/>
        <w:ind w:left="283"/>
      </w:pPr>
      <w:r>
        <w:rPr>
          <w:rFonts w:ascii="Calibri" w:hAnsi="Calibri"/>
          <w:b/>
          <w:color w:val="4A6B25"/>
          <w:sz w:val="20"/>
        </w:rPr>
        <w:t xml:space="preserve">2. </w:t>
      </w:r>
      <w:r>
        <w:rPr>
          <w:rFonts w:ascii="Calibri" w:hAnsi="Calibri"/>
          <w:b w:val="0"/>
          <w:color w:val="3A4A28"/>
          <w:sz w:val="20"/>
        </w:rPr>
        <w:t>Q1 2026 included $14.3M in one-time COVID vaccine CleanCap orders not expected to recur, overstating underlying growth trajectory which is approximately 10% organically</w:t>
      </w:r>
    </w:p>
    <w:p>
      <w:pPr>
        <w:spacing w:before="40" w:after="40"/>
        <w:ind w:left="283"/>
      </w:pPr>
      <w:r>
        <w:rPr>
          <w:rFonts w:ascii="Calibri" w:hAnsi="Calibri"/>
          <w:b/>
          <w:color w:val="4A6B25"/>
          <w:sz w:val="20"/>
        </w:rPr>
        <w:t xml:space="preserve">3. </w:t>
      </w:r>
      <w:r>
        <w:rPr>
          <w:rFonts w:ascii="Calibri" w:hAnsi="Calibri"/>
          <w:b w:val="0"/>
          <w:color w:val="3A4A28"/>
          <w:sz w:val="20"/>
        </w:rPr>
        <w:t>Competitive pressure from Thermo Fisher, Danaher, and well-capitalized life sciences tools companies that can invest more heavily in technology, manufacturing scale, and customer relationships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Maravai's core business — manufacturing physical nucleic acid products (CleanCap analogs, custom oligos, host cell protein assay kits) — requires wet-lab chemistry and biological production capabilities that AI cannot substitute [2]. The physical production, quality control, and regulatory compliance moats provide meaningful protection. However, AI-enabled competitors could accelerate sequence design and synthesis optimization, potentially commoditizing aspects of the custom nucleic acid market, and larger competitors like Thermo Fisher and Danaher have deeper AI investment capabilities [3]. AI Opportunity (0/1): While Maravai acquired Officinae Bio's AI-enabled sequence design team and is implementing AI for internal planning, no quantifiable AI-generated revenue has been reported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Maravai LifeSciences Q1 2026 Earnings Release — $65.8M revenue (41% YoY), raised FY2026 guidance to $205-215M; BusinessWire, May 7, 2026</w:t>
      </w:r>
    </w:p>
    <w:p>
      <w:pPr>
        <w:spacing w:before="20" w:after="20"/>
        <w:ind w:left="170"/>
      </w:pPr>
      <w:r>
        <w:rPr>
          <w:rFonts w:ascii="Calibri" w:hAnsi="Calibri"/>
          <w:b/>
          <w:color w:val="4A6B25"/>
          <w:sz w:val="15"/>
        </w:rPr>
        <w:t xml:space="preserve">2. </w:t>
      </w:r>
      <w:r>
        <w:rPr>
          <w:rFonts w:ascii="Calibri" w:hAnsi="Calibri"/>
          <w:b w:val="0"/>
          <w:color w:val="3A4A28"/>
          <w:sz w:val="17"/>
        </w:rPr>
        <w:t>Maravai LifeSciences Officinae Bio DNA/RNA Business Acquisition — AI-enabled sequence design capabilities; BusinessWire, November 2024</w:t>
      </w:r>
    </w:p>
    <w:p>
      <w:pPr>
        <w:spacing w:before="20" w:after="20"/>
        <w:ind w:left="170"/>
      </w:pPr>
      <w:r>
        <w:rPr>
          <w:rFonts w:ascii="Calibri" w:hAnsi="Calibri"/>
          <w:b/>
          <w:color w:val="4A6B25"/>
          <w:sz w:val="15"/>
        </w:rPr>
        <w:t xml:space="preserve">3. </w:t>
      </w:r>
      <w:r>
        <w:rPr>
          <w:rFonts w:ascii="Calibri" w:hAnsi="Calibri"/>
          <w:b w:val="0"/>
          <w:color w:val="3A4A28"/>
          <w:sz w:val="17"/>
        </w:rPr>
        <w:t>Maravai LifeSciences Strategic Restructuring — $50M cost savings, new CEO Bernd Brust, Raj Asarpota from Illumina; ainvest.com, Seeking Alpha, 2025-2026</w:t>
      </w:r>
    </w:p>
    <w:p>
      <w:pPr>
        <w:spacing w:before="20" w:after="20"/>
        <w:ind w:left="170"/>
      </w:pPr>
      <w:r>
        <w:rPr>
          <w:rFonts w:ascii="Calibri" w:hAnsi="Calibri"/>
          <w:b/>
          <w:color w:val="4A6B25"/>
          <w:sz w:val="15"/>
        </w:rPr>
        <w:t xml:space="preserve">4. </w:t>
      </w:r>
      <w:r>
        <w:rPr>
          <w:rFonts w:ascii="Calibri" w:hAnsi="Calibri"/>
          <w:b w:val="0"/>
          <w:color w:val="3A4A28"/>
          <w:sz w:val="17"/>
        </w:rPr>
        <w:t>Maravai LifeSciences Corporate Website — maravai.com/who-we-are, mission and leadership,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Maravai LifeSciences 2023 ESG Report — GHG emissions tracking, Scope 3 reporting; investors.maravai.com, July 2024</w:t>
      </w:r>
    </w:p>
    <w:p>
      <w:pPr>
        <w:spacing w:before="20" w:after="20"/>
        <w:ind w:left="170"/>
      </w:pPr>
      <w:r>
        <w:rPr>
          <w:rFonts w:ascii="Calibri" w:hAnsi="Calibri"/>
          <w:b/>
          <w:color w:val="4A6B25"/>
          <w:sz w:val="15"/>
        </w:rPr>
        <w:t xml:space="preserve">6. </w:t>
      </w:r>
      <w:r>
        <w:rPr>
          <w:rFonts w:ascii="Calibri" w:hAnsi="Calibri"/>
          <w:b w:val="0"/>
          <w:color w:val="3A4A28"/>
          <w:sz w:val="17"/>
        </w:rPr>
        <w:t>MRVI Insider Trading Activity — CEO Brust $809K purchase at $3.24, net $1.9M insider buying; StockTitan, Simply Wall St, 2025-2026</w:t>
      </w:r>
    </w:p>
    <w:p>
      <w:pPr>
        <w:spacing w:before="20" w:after="20"/>
        <w:ind w:left="170"/>
      </w:pPr>
      <w:r>
        <w:rPr>
          <w:rFonts w:ascii="Calibri" w:hAnsi="Calibri"/>
          <w:b/>
          <w:color w:val="4A6B25"/>
          <w:sz w:val="15"/>
        </w:rPr>
        <w:t xml:space="preserve">7. </w:t>
      </w:r>
      <w:r>
        <w:rPr>
          <w:rFonts w:ascii="Calibri" w:hAnsi="Calibri"/>
          <w:b w:val="0"/>
          <w:color w:val="3A4A28"/>
          <w:sz w:val="17"/>
        </w:rPr>
        <w:t>Yahoo Finance — MRVI Key Statistics and Financial Data,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