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NTST</w:t>
      </w:r>
      <w:r>
        <w:rPr>
          <w:rFonts w:ascii="Calibri" w:hAnsi="Calibri"/>
          <w:b/>
          <w:color w:val="1A2010"/>
          <w:sz w:val="40"/>
        </w:rPr>
        <w:t xml:space="preserve">  NETSTREIT Corp.</w:t>
      </w:r>
    </w:p>
    <w:p>
      <w:pPr>
        <w:spacing w:after="120"/>
      </w:pPr>
      <w:r>
        <w:rPr>
          <w:rFonts w:ascii="Calibri" w:hAnsi="Calibri"/>
          <w:b/>
          <w:color w:val="6E8450"/>
          <w:sz w:val="18"/>
        </w:rPr>
        <w:t>DIVIDEND SLEEVE · 2026-07-28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Retail (Net Lease) · NYSE · United States</w:t>
      </w:r>
    </w:p>
    <w:p>
      <w:pPr>
        <w:spacing w:after="80"/>
      </w:pPr>
      <w:r>
        <w:rPr>
          <w:rFonts w:ascii="Calibri" w:hAnsi="Calibri"/>
          <w:b w:val="0"/>
          <w:color w:val="3A4A28"/>
          <w:sz w:val="20"/>
        </w:rPr>
        <w:t>NETSTREIT is an internally managed REIT based in Dallas, Texas that acquires single-tenant net lease retail properties nationwide. The portfolio focuses on e-commerce resistant tenants with healthy balance sheets, including grocery, convenience stores, quick-service restaurants, and auto service retailers. IPO'd in August 2020, the company has grown to over $3 billion in gross assets.</w:t>
      </w:r>
    </w:p>
    <w:p>
      <w:r>
        <w:rPr>
          <w:rFonts w:ascii="Calibri" w:hAnsi="Calibri"/>
          <w:b/>
          <w:color w:val="6E8450"/>
          <w:sz w:val="18"/>
        </w:rPr>
        <w:t>29 Employees · https://www.netstreit.com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NETSTREIT has scaled rapidly since its August 2020 IPO to over $3B in gross assets, closing $298.9M of investments in Q2 2026 at a blended cash yield of 7.4% [1]. This represents strong capital deployment execution, but the business model — single-tenant net lease acquisition — replicates the established playbook of Realty Income and NNN with no meaningful product innovation or business model transformation. AI Deployment (0/2): No AI-powered products or AI-driven operational efficiencies have been disclosed in earnings materials or investor presentations [1][2]. Market Share (1/2): NETSTREIT is a meaningful mid-cap participant in the net lease REIT sector with $3B+ in assets, but is dwarfed by Realty Income (~$70B) and NNN (~$13B), positioning it as a fast-growing but non-dominant player [4]. Product Pipeline (1/2): Management raised FY2026 net investment activity guidance to $700M-$800M (from $550M-$650M) with strong 60-90 day pipeline visibility in high-quality sectors including QSR, grocery, and auto service [1]. R&amp;D Intensity (0/1): REITs do not maintain R&amp;D operations; capital is deployed into property acquisitions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NETSTREIT's stated focus on building 'the highest quality net lease retail portfolio generating consistent cash flows and dividends' is clear about what the company does and for whom, and identifies quality as a differentiator, but does not articulate a deeper societal purpose beyond financial returns [5]. It meets the 'clear but not distinctive' threshold. Community Impact (0/2): No charitable foundation, community investment programs, or meaningful philanthropic initiatives were identified in public filings or investor materials [5]. Employee Retention (1/2): Glassdoor reviews (4.2/5.0 stars) describe 'great leadership' with colleagues who 'really care and take pride in their work,' a family-first culture, and strong benefits including equity compensation, 401K contributions, and comprehensive healthcare [3]. The lean 29-person team and limited role redundancy create workload challenges. Insider Buying (0/2): Insider holdings include ~636K shares through stock award grants, but no meaningful net open-market purchases by executives were identified in the last 12 months [4]. Transactions are primarily compensation-related.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revenue of $61.28M beat consensus of $56.34M, and management raised investment guidance to $700M-$800M while tightening AFFO guidance to $1.37-$1.39 per share [1]. Balance sheet is conservatively positioned at 3.2x net debt/EBITDA with no material maturities until 2028 [2]. D/E of 82.5% is moderate for the net lease sector, and revenue growth of ~18% YoY reflects aggressive portfolio expansion. However, GAAP profitability remains structurally challenged for a young REIT: ROE of ~1.0% reflects heavy depreciation charges, and forward P/E of ~54x on GAAP earnings is elevated even by REIT standards (though price/AFFO of 15.6x is reasonable for the sector) [4]. Dividend yield of 4.18% is attractive but 5-year dividend growth CAGR of 1.5% barely keeps pace with inflation.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NETSTREIT exhibits adequate but not distinctive infinite game characteristics. The company's conservative balance sheet management, focus on essential retail tenants, and internal management structure suggest long-term thinking, but the company is only 6 years old and has not been tested through a full real estate cycle. The REIT model inherently prioritizes steady distributions over transformative purpose, and no Just Cause beyond investor returns has been articulated.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NETSTREIT's purpose — building the highest quality net lease retail portfolio generating consistent cash flows — is functional but not transformative. The cause identifies what the company does well but doesn't articulate a vision of a better future beyond delivering investor returns [5]. It is interchangeable with dozens of peer net lease REITs. Leadership references portfolio quality in strategic decisions, but the cause has not been tested through a crisis or multi-decade consistency given the 2020 founding.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(4.2/5.0 stars) indicate a positive culture where leadership 'really cares' and respects family-work balance [3]. Employees praise equity compensation, benefits, and collaborative culture. The internal management structure aligns incentives with shareholders more directly than externally managed peers. However, the lean 29-person team with no role redundancy creates vulnerability — individual absences result in significant workload strain, which could pressure team dynamics as the portfolio scales past $3B.</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NETSTREIT positions itself against much larger net lease peers (Realty Income, NNN) by emphasizing portfolio quality and investment-grade tenant credit over sheer scale [1]. The company's differentiation through e-commerce resistant categories and conservative underwriting suggests competitive awareness focused on self-improvement — finding a niche where quality beats size — rather than simply trying to outgrow larger rivals with superior cost of capital.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NETSTREIT has shown incremental strategic flexibility — adjusting acquisition targets by sector (shifting toward grocery, QSR, and auto service while reducing general retail exposure) and balancing capital allocation between growth investments and balance sheet strengthening [1]. The raised investment guidance from $550M-$650M to $700M-$800M reflects confidence in adapting deal flow to market conditions. However, the company is too young to have faced a true existential test requiring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demonstrated fiscal discipline by maintaining conservative 3.2x leverage with no material debt maturities until 2028, resisting the temptation to over-lever during the acquisition boom [1][2]. The decision to remain internally managed from inception rather than using the more common (and initially more profitable for sponsors) external management structure shows long-term shareholder alignment. However, these are prudent financial decisions rather than courageous contrarian bets that sacrifice near-term returns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NETSTREIT delivered a strong Q2 2026 with revenue of $61.28M (above $56.34M consensus) and AFFO per share of $0.35, beating estimates, driven by $298.9M of gross investments in essential retail at a 7.4% blended cash yield [1]. Management raised FY2026 investment guidance to $700M-$800M and tightened AFFO guidance to $1.37-$1.39 per share, signaling accelerating growth. The balance sheet is conservatively positioned at 3.2x leverage with no material debt maturities until 2028, and the $0.90 annualized dividend yields ~4.18% with AFFO coverage of ~1.5x [2]. NETSTREIT's focus on e-commerce-resistant tenants (grocery, QSR, auto service, convenience stores) provides structural protection against both AI disruption and retail headwinds.</w:t>
      </w:r>
    </w:p>
    <w:p>
      <w:pPr>
        <w:spacing w:after="120"/>
      </w:pPr>
      <w:r>
        <w:rPr>
          <w:rFonts w:ascii="Calibri" w:hAnsi="Calibri"/>
          <w:b w:val="0"/>
          <w:color w:val="3A4A28"/>
          <w:sz w:val="20"/>
        </w:rPr>
        <w:t>The bear case centers on NETSTREIT's structurally low GAAP profitability and limited dividend growth history. GAAP ROE of ~1% and trailing P/E of ~170x reflect REIT depreciation charges that penalize traditional financial metrics, though price/AFFO of 15.6x is reasonable for the sector [4]. The company competes in a crowded net lease sector against much larger incumbents like Realty Income ($70B+ assets) with superior cost of capital, creating structural disadvantage on acquisition spreads. The 5-year dividend growth CAGR of just 1.5% may disappoint income-focused investors seeking inflation-beating distribution growth. Most critically, NETSTREIT's short 6-year operating history means the portfolio has not been stress-tested through a recession or major tenant default cycle, creating uncertainty about credit quality resilience.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FY2026 investment guidance to $700M-$800M with 7.4% blended cash yields, potentially pushing gross assets past $4B by year-end and accelerating AFFO growth [1]</w:t>
      </w:r>
    </w:p>
    <w:p>
      <w:pPr>
        <w:spacing w:before="40" w:after="40"/>
        <w:ind w:left="283"/>
      </w:pPr>
      <w:r>
        <w:rPr>
          <w:rFonts w:ascii="Calibri" w:hAnsi="Calibri"/>
          <w:b/>
          <w:color w:val="4A6B25"/>
          <w:sz w:val="20"/>
        </w:rPr>
        <w:t xml:space="preserve">2. </w:t>
      </w:r>
      <w:r>
        <w:rPr>
          <w:rFonts w:ascii="Calibri" w:hAnsi="Calibri"/>
          <w:b w:val="0"/>
          <w:color w:val="3A4A28"/>
          <w:sz w:val="20"/>
        </w:rPr>
        <w:t>Conservative 3.2x leverage with no 2026-2027 maturities positions NETSTREIT to capitalize on distressed acquisition opportunities if credit markets tighten [2]</w:t>
      </w:r>
    </w:p>
    <w:p>
      <w:pPr>
        <w:spacing w:before="40" w:after="40"/>
        <w:ind w:left="283"/>
      </w:pPr>
      <w:r>
        <w:rPr>
          <w:rFonts w:ascii="Calibri" w:hAnsi="Calibri"/>
          <w:b/>
          <w:color w:val="4A6B25"/>
          <w:sz w:val="20"/>
        </w:rPr>
        <w:t xml:space="preserve">3. </w:t>
      </w:r>
      <w:r>
        <w:rPr>
          <w:rFonts w:ascii="Calibri" w:hAnsi="Calibri"/>
          <w:b w:val="0"/>
          <w:color w:val="3A4A28"/>
          <w:sz w:val="20"/>
        </w:rPr>
        <w:t>Improving profit margins (13.5% vs 5.3% prior year) as the portfolio scales and operating leverage increases on the lean 29-person internal management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ROE of ~1% and forward P/E of ~54x reflect structurally thin profitability that could compress further if acquisition cap rates tighten below the 7.4% blended yield achieved in Q2 2026 [4]</w:t>
      </w:r>
    </w:p>
    <w:p>
      <w:pPr>
        <w:spacing w:before="40" w:after="40"/>
        <w:ind w:left="283"/>
      </w:pPr>
      <w:r>
        <w:rPr>
          <w:rFonts w:ascii="Calibri" w:hAnsi="Calibri"/>
          <w:b/>
          <w:color w:val="4A6B25"/>
          <w:sz w:val="20"/>
        </w:rPr>
        <w:t xml:space="preserve">2. </w:t>
      </w:r>
      <w:r>
        <w:rPr>
          <w:rFonts w:ascii="Calibri" w:hAnsi="Calibri"/>
          <w:b w:val="0"/>
          <w:color w:val="3A4A28"/>
          <w:sz w:val="20"/>
        </w:rPr>
        <w:t>Significant competitive disadvantage versus larger net lease REITs (Realty Income, NNN) with lower cost of capital and superior scale, limiting ability to win deals at accretive spreads as the sector consolidates</w:t>
      </w:r>
    </w:p>
    <w:p>
      <w:pPr>
        <w:spacing w:before="40" w:after="40"/>
        <w:ind w:left="283"/>
      </w:pPr>
      <w:r>
        <w:rPr>
          <w:rFonts w:ascii="Calibri" w:hAnsi="Calibri"/>
          <w:b/>
          <w:color w:val="4A6B25"/>
          <w:sz w:val="20"/>
        </w:rPr>
        <w:t xml:space="preserve">3. </w:t>
      </w:r>
      <w:r>
        <w:rPr>
          <w:rFonts w:ascii="Calibri" w:hAnsi="Calibri"/>
          <w:b w:val="0"/>
          <w:color w:val="3A4A28"/>
          <w:sz w:val="20"/>
        </w:rPr>
        <w:t>Short 6-year operating history means the portfolio has not been stress-tested through a recession or major tenant default cycle, and the 29-person team creates key-person risk with no role redundancy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NETSTREIT's core business — owning and leasing physical retail properties to essential, e-commerce resistant tenants like grocery stores, QSR, convenience stores, and auto service retailers — is structurally immune to AI disruption [1]. Net lease REITs collect contractual rent from physical locations under long-term leases (14+ year weighted average terms) that AI cannot replicate or displace. The tenant base serves daily necessity categories requiring in-person visits, and lease structures lock in revenue regardless of technological shifts [5]. AI may modestly improve property underwriting and tenant credit analytics but poses zero substitution risk to the core rent collection model. AI Opportunity (0/1): NETSTREIT generates no revenue from AI products or services and has disclosed no AI-driven operational enhancements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NETSTREIT Q2 2026 Earnings Release — Revenue $61.28M, AFFO $0.35/share, Investment Guidance Raised to $700M-$800M, July 2026</w:t>
      </w:r>
    </w:p>
    <w:p>
      <w:pPr>
        <w:spacing w:before="20" w:after="20"/>
        <w:ind w:left="170"/>
      </w:pPr>
      <w:r>
        <w:rPr>
          <w:rFonts w:ascii="Calibri" w:hAnsi="Calibri"/>
          <w:b/>
          <w:color w:val="4A6B25"/>
          <w:sz w:val="15"/>
        </w:rPr>
        <w:t xml:space="preserve">2. </w:t>
      </w:r>
      <w:r>
        <w:rPr>
          <w:rFonts w:ascii="Calibri" w:hAnsi="Calibri"/>
          <w:b w:val="0"/>
          <w:color w:val="3A4A28"/>
          <w:sz w:val="17"/>
        </w:rPr>
        <w:t>NETSTREIT Q2 2026 Earnings Call Transcript — Balance Sheet, Leverage, and Strategic Commentary, July 2026</w:t>
      </w:r>
    </w:p>
    <w:p>
      <w:pPr>
        <w:spacing w:before="20" w:after="20"/>
        <w:ind w:left="170"/>
      </w:pPr>
      <w:r>
        <w:rPr>
          <w:rFonts w:ascii="Calibri" w:hAnsi="Calibri"/>
          <w:b/>
          <w:color w:val="4A6B25"/>
          <w:sz w:val="15"/>
        </w:rPr>
        <w:t xml:space="preserve">3. </w:t>
      </w:r>
      <w:r>
        <w:rPr>
          <w:rFonts w:ascii="Calibri" w:hAnsi="Calibri"/>
          <w:b w:val="0"/>
          <w:color w:val="3A4A28"/>
          <w:sz w:val="17"/>
        </w:rPr>
        <w:t>Glassdoor — NETSTREIT Employee Reviews (4.2/5.0 stars),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NTST Key Statistics and Valuation Metrics,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NETSTREIT Investor Relations — Investment Strategy and Company Overview,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