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NVX</w:t>
      </w:r>
      <w:r>
        <w:rPr>
          <w:rFonts w:ascii="Calibri" w:hAnsi="Calibri"/>
          <w:b/>
          <w:color w:val="1A2010"/>
          <w:sz w:val="40"/>
        </w:rPr>
        <w:t xml:space="preserve">  NOVONIX Limited</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Australia</w:t>
      </w:r>
    </w:p>
    <w:p>
      <w:pPr>
        <w:spacing w:after="80"/>
      </w:pPr>
      <w:r>
        <w:rPr>
          <w:rFonts w:ascii="Calibri" w:hAnsi="Calibri"/>
          <w:b w:val="0"/>
          <w:color w:val="3A4A28"/>
          <w:sz w:val="20"/>
        </w:rPr>
        <w:t>NOVONIX Limited develops and manufactures synthetic graphite anode materials for lithium-ion batteries, with a primary production facility in Chattanooga, Tennessee. The company is positioning as the first large-scale North American producer of synthetic graphite anode material, supported by a $100M U.S. Department of Energy grant, a conditional $754.8M DOE loan commitment, and $103M in U.S. tax credit allocations. Dual-listed on NASDAQ and ASX. Founded in 2017, headquartered in Brisbane, Australia.</w:t>
      </w:r>
    </w:p>
    <w:p>
      <w:r>
        <w:rPr>
          <w:rFonts w:ascii="Calibri" w:hAnsi="Calibri"/>
          <w:b/>
          <w:color w:val="6E8450"/>
          <w:sz w:val="18"/>
        </w:rPr>
        <w:t>300 Employees · https://www.novonixgroup.com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NOVONIX shipped the first North American mass-production synthetic graphite anode C-sample to Panasonic Energy from its Riverside facility in Chattanooga in June 2026, a milestone positioning the company as a domestic supply chain pioneer [1]. However, the company completed the sale of its revenue-generating Battery Technology Solutions (BTS) business to former CEO Dr. Chris Burns, leaving it effectively pre-revenue until graphite sales scale [2]. AI Deployment (0/2): No AI deployment or strategy evident in NOVONIX's manufacturing, R&amp;D, or operations [3]. Market Share (0/2): Essentially zero market share in a global synthetic graphite market dominated by Chinese producers. The March 2026 ITC decision to remove anticipated anti-dumping protection against Chinese anode imports was a major setback for the domestic pricing thesis [1]. Product Pipeline (1/2): C-sample qualification with Panasonic is one of the final stages before commercial supply, with silicon anode technology R&amp;D underway as a next-generation initiative, but customer qualification timing rests entirely with Panasonic and no revenue timeline is confirmed [1]. R&amp;D Intensity (1/1): NOVONIX invests heavily in materials science R&amp;D for synthetic graphite and silicon anode technologies, with DOE grant support and proprietary production processes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NOVONIX's stated purpose centers on building a sustainable battery materials supply chain in North America, connecting its work to the broader energy transition and EV adoption. The company emphasizes that 'everything NOVONIX does is centered on people' [3]. The mission is clear and relevant but follows the standard cleantech template without deeply distinctive articulation. Community Impact (1/2): NOVONIX's Chattanooga manufacturing facility creates jobs in the Tennessee region, and the company published an inaugural sustainability report with ESG committee formation [4]. The DOE partnerships represent public-private investment in domestic supply chain security. Employee Retention (0/2): CEO Dr. Chris Burns departed in January 2025 after leading the company since 2020, replaced by Michael O'Kronley in May 2025. Burns then purchased back the BTS unit, an unusual arrangement that raises governance questions [2]. Minimal Glassdoor data available for a ~300-employee company. Insider Buying (0/2): No evidence of meaningful insider buying. Former CEO Burns departed and purchased a business unit rather than increasing equity exposure. No notable insider purchases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335,749 shares at $0.407 produces daily dollar volume of approximately $137,000, far below the $1,000,000 minimum threshold for IOWN tradability. Infrastructure score is therefore 0 regardless of other metrics. Underlying fundamentals are also poor: TTM revenue of $5.62M (down 4.1% YoY) against a net loss of $92.73M produces a profit margin of approximately -1,650% [5]. The company holds approximately AUD 119.7M in cash against AUD 150.4M in debt, producing negative net cash of -AUD 30.7M [6]. D/E ratio of approximately 62% is within reasonable bounds, but ROE of -62% and free cash flow burn of -AUD 153.5M annually are critical concerns. Stock has declined 67.8% over the past 52 weeks from $3.86 to $0.407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NOVONIX shows some elements of long-term vision through its commitment to building domestic battery supply chain infrastructure with significant government backing, but execution challenges, CEO departure, and the sale of the revenue-generating BTS unit to the former CEO raise questions about organizational stability and leadership commitment. The company is in survival mode, burning through cash at an unsustainable rate while awaiting customer qualification decisions it does not control.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NOVONIX's purpose of building a North American battery materials supply chain connects to the larger energy transition and reducing dependence on Chinese graphite suppliers [1][3]. This is a genuine cause aligned with energy security and sustainability. However, the company has not yet proven it can execute on this vision — revenue is declining, the BTS unit was sold off, and the core Panasonic qualification remains pending after years of development. The cause is aspirational rather than validated by sustained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departure of founder Dr. Chris Burns, who then purchased back the BTS unit he had built, suggests potential misalignment between leadership and the organization's direction [2]. New CEO O'Kronley arrived May 2025, and additional leadership hires (CLO, COO) indicate organizational rebuilding rather than stability. The unusual dynamic of the former CEO buying back a business unit from the company he founded raises questions about internal trust and governance.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NOVONIX's competitive positioning is framed around displacing Chinese graphite imports through domestic production rather than learning from competitors' strengths [1]. The ITC ruling removing anti-dumping protection exposed the company's dependence on protectionist policy rather than competitive superiority. No evidence of management referencing Chinese producers' scale advantages or cost efficiencies as motivating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NOVONIX made a significant strategic pivot by divesting its Battery Technology Solutions testing equipment business to concentrate entirely on synthetic graphite anode production, fundamentally narrowing the company's focus to a single high-priority opportunity [2][3]. The company is also investing in silicon anode R&amp;D as a next-generation bet. However, this pivot was driven partly by financial necessity and the realization that BTS was a distraction from the core graphite scaling opportunity, rather than a vision-driven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NOVONIX pursued $100M DOE grant, $754.8M conditional DOE loan commitment, and $103M tax credit allocation to fund Chattanooga facility buildout — significant long-term bets on domestic graphite production [1]. The strategic pivot to divest BTS and focus entirely on graphite manufacturing represents a bold but risky strategic concentration. However, the CEO change from founder Burns to O'Kronley and the sale of the only revenue-generating unit create execution risk at a critical juncture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NOVONIX occupies a unique strategic position as the first company to produce synthetic graphite anode material at mass-production scale in North America, with the June 2026 C-sample delivery to Panasonic Energy representing a critical qualification milestone [1]. The company is backed by substantial government support: $100M DOE grant, conditional $754.8M DOE loan commitment, and $103M tax credit allocation to build out its Chattanooga facility [1]. The growing global demand for lithium-ion batteries driven by EV adoption and energy storage, combined with geopolitical pressure to reduce dependence on Chinese supply chains, creates a secular tailwind for domestic anode material production. At $102M market cap, the stock trades below the value of its government commitments alone.</w:t>
      </w:r>
    </w:p>
    <w:p>
      <w:pPr>
        <w:spacing w:after="120"/>
      </w:pPr>
      <w:r>
        <w:rPr>
          <w:rFonts w:ascii="Calibri" w:hAnsi="Calibri"/>
          <w:b w:val="0"/>
          <w:color w:val="3A4A28"/>
          <w:sz w:val="20"/>
        </w:rPr>
        <w:t>The bear case is severe and multidimensional. NOVONIX generates only $5.62M in TTM revenue (down 4.1% YoY) while burning $92.73M annually in net losses and $153.5M in negative free cash flow, creating urgent funding concerns despite government commitments [5]. The March 2026 ITC decision removing anti-dumping protection against Chinese anode imports eliminated a key assumption underpinning the domestic pricing thesis [1]. The sale of the revenue-generating BTS unit to former CEO Burns leaves the company effectively pre-revenue until Panasonic or other customers complete qualification — a decision and timeline NOVONIX does not control [2]. Daily dollar volume of ~$137K makes the stock essentially untradeable for institutional investors, the shares have declined 67.8% over the past year, and the conditional DOE loan commitment may not convert to actual funding if the company cannot meet milestones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Panasonic C-sample qualification decision could unlock the first commercial supply agreement for domestically-produced synthetic graphite anode material in North America</w:t>
      </w:r>
    </w:p>
    <w:p>
      <w:pPr>
        <w:spacing w:before="40" w:after="40"/>
        <w:ind w:left="283"/>
      </w:pPr>
      <w:r>
        <w:rPr>
          <w:rFonts w:ascii="Calibri" w:hAnsi="Calibri"/>
          <w:b/>
          <w:color w:val="4A6B25"/>
          <w:sz w:val="20"/>
        </w:rPr>
        <w:t xml:space="preserve">2. </w:t>
      </w:r>
      <w:r>
        <w:rPr>
          <w:rFonts w:ascii="Calibri" w:hAnsi="Calibri"/>
          <w:b w:val="0"/>
          <w:color w:val="3A4A28"/>
          <w:sz w:val="20"/>
        </w:rPr>
        <w:t>Conversion of the conditional $754.8M DOE loan commitment to definitive funding would provide the capital needed to complete Chattanooga facility buildout and reach commercial scale</w:t>
      </w:r>
    </w:p>
    <w:p>
      <w:pPr>
        <w:spacing w:before="40" w:after="40"/>
        <w:ind w:left="283"/>
      </w:pPr>
      <w:r>
        <w:rPr>
          <w:rFonts w:ascii="Calibri" w:hAnsi="Calibri"/>
          <w:b/>
          <w:color w:val="4A6B25"/>
          <w:sz w:val="20"/>
        </w:rPr>
        <w:t xml:space="preserve">3. </w:t>
      </w:r>
      <w:r>
        <w:rPr>
          <w:rFonts w:ascii="Calibri" w:hAnsi="Calibri"/>
          <w:b w:val="0"/>
          <w:color w:val="3A4A28"/>
          <w:sz w:val="20"/>
        </w:rPr>
        <w:t>Potential reinstatement of trade protections against Chinese graphite imports through new tariff actions or policy changes that would improve domestic pricing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$92.73M annually against $5.62M revenue with negative net cash position creates existential liquidity risk — DOE loan commitment is conditional and may not fund if milestones are not met</w:t>
      </w:r>
    </w:p>
    <w:p>
      <w:pPr>
        <w:spacing w:before="40" w:after="40"/>
        <w:ind w:left="283"/>
      </w:pPr>
      <w:r>
        <w:rPr>
          <w:rFonts w:ascii="Calibri" w:hAnsi="Calibri"/>
          <w:b/>
          <w:color w:val="4A6B25"/>
          <w:sz w:val="20"/>
        </w:rPr>
        <w:t xml:space="preserve">2. </w:t>
      </w:r>
      <w:r>
        <w:rPr>
          <w:rFonts w:ascii="Calibri" w:hAnsi="Calibri"/>
          <w:b w:val="0"/>
          <w:color w:val="3A4A28"/>
          <w:sz w:val="20"/>
        </w:rPr>
        <w:t>ITC removal of anti-dumping protection in March 2026 eliminates pricing support against Chinese synthetic graphite producers who benefit from massive scale and lower production costs</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~$137K renders the stock illiquid for institutional investment and creates severe price impact risk for any meaningful position — shares have already declined 67.8% in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NOVONIX's core business — manufacturing synthetic graphite anode materials through proprietary chemical processes at industrial scale — is firmly in the physical world and structurally immune to AI displacement. Battery materials production involves complex chemical engineering, high-temperature graphitization processes, quality control of physical materials, and management of manufacturing facilities [3]. The supply chain for anode materials — from raw materials sourcing through graphitization to customer qualification — requires physical infrastructure that AI cannot substitute. Additionally, the growing demand for batteries in EVs and AI data center energy storage could increase demand for NOVONIX's products. The DOE-funded domestic supply chain strategy is driven by geopolitical and supply chain security concerns that AI does not address [1]. AI Opportunity (0/1): No evidence of AI-derived revenue. Manufacturing and R&amp;D processes appear to use traditional materials science approaches without quantified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NOVONIX Ships First North American Mass-Production Anode C-Sample to Panasonic and ITC Decision Coverage — TipRanks/Kalkine, June 2026</w:t>
      </w:r>
    </w:p>
    <w:p>
      <w:pPr>
        <w:spacing w:before="20" w:after="20"/>
        <w:ind w:left="170"/>
      </w:pPr>
      <w:r>
        <w:rPr>
          <w:rFonts w:ascii="Calibri" w:hAnsi="Calibri"/>
          <w:b/>
          <w:color w:val="4A6B25"/>
          <w:sz w:val="15"/>
        </w:rPr>
        <w:t xml:space="preserve">2. </w:t>
      </w:r>
      <w:r>
        <w:rPr>
          <w:rFonts w:ascii="Calibri" w:hAnsi="Calibri"/>
          <w:b w:val="0"/>
          <w:color w:val="3A4A28"/>
          <w:sz w:val="17"/>
        </w:rPr>
        <w:t>NOVONIX CEO Transition and BTS Sale Announcements — NOVONIX Corporate News, January-May 2025</w:t>
      </w:r>
    </w:p>
    <w:p>
      <w:pPr>
        <w:spacing w:before="20" w:after="20"/>
        <w:ind w:left="170"/>
      </w:pPr>
      <w:r>
        <w:rPr>
          <w:rFonts w:ascii="Calibri" w:hAnsi="Calibri"/>
          <w:b/>
          <w:color w:val="4A6B25"/>
          <w:sz w:val="15"/>
        </w:rPr>
        <w:t xml:space="preserve">3. </w:t>
      </w:r>
      <w:r>
        <w:rPr>
          <w:rFonts w:ascii="Calibri" w:hAnsi="Calibri"/>
          <w:b w:val="0"/>
          <w:color w:val="3A4A28"/>
          <w:sz w:val="17"/>
        </w:rPr>
        <w:t>NOVONIX Corporate Website — Leadership, Mission, and Technology,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NOVONIX Inaugural Sustainability Report and ESG Initiatives — NOVONIX Corporate News,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NVX Key Statistics and Valuation (NASDAQ),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WallStreetZen/StockAnalysis.com — NVX Financial Metrics (ASX),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