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OBDC</w:t>
      </w:r>
      <w:r>
        <w:rPr>
          <w:rFonts w:ascii="Calibri" w:hAnsi="Calibri"/>
          <w:b/>
          <w:color w:val="1A2010"/>
          <w:sz w:val="40"/>
        </w:rPr>
        <w:t xml:space="preserve">  Blue Owl Capital Corporation</w:t>
      </w:r>
    </w:p>
    <w:p>
      <w:pPr>
        <w:spacing w:after="120"/>
      </w:pPr>
      <w:r>
        <w:rPr>
          <w:rFonts w:ascii="Calibri" w:hAnsi="Calibri"/>
          <w:b/>
          <w:color w:val="6E8450"/>
          <w:sz w:val="18"/>
        </w:rPr>
        <w:t>DIVIDEND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Business Development Company · NYSE · United States</w:t>
      </w:r>
    </w:p>
    <w:p>
      <w:pPr>
        <w:spacing w:after="80"/>
      </w:pPr>
      <w:r>
        <w:rPr>
          <w:rFonts w:ascii="Calibri" w:hAnsi="Calibri"/>
          <w:b w:val="0"/>
          <w:color w:val="3A4A28"/>
          <w:sz w:val="20"/>
        </w:rPr>
        <w:t>Blue Owl Capital Corporation is an externally-managed business development company (BDC) providing direct lending to U.S. middle-market companies, managed by Blue Owl's Credit platform under CEO Craig Packer. The portfolio holds fair value of approximately $16.5B across 234 companies as of year-end 2025 [1]. Q1 2026 results showed a sequential NAV decline (from $14.81 to $14.41 per share) driven by mark-to-market losses as credit spreads widened, prompting a 16% base dividend cut (from $0.37 to $0.31 per share) to restore payout coverage [2].</w:t>
      </w:r>
    </w:p>
    <w:p>
      <w:r>
        <w:rPr>
          <w:rFonts w:ascii="Calibri" w:hAnsi="Calibri"/>
          <w:b/>
          <w:color w:val="6E8450"/>
          <w:sz w:val="18"/>
        </w:rPr>
        <w:t>https://www.blueowlcapitalcorporation.com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OBDC has scaled through consolidation within the Blue Owl credit platform, but no transformative product or business-model pivot was identified — it remains a traditional middle-market direct lender. AI Deployment (0/2): No evidence found of AI-powered underwriting tools, portfolio monitoring systems, or quantified AI-driven efficiency gains. Market Share (1/2): Blue Owl's credit platform is among the largest direct lending managers, but no specific data quantifying OBDC's own share gains or category leadership was found. Product Pipeline (0/2): As a lending vehicle rather than a product company, no next-generation product pipeline applies; new investment commitments actually fell sharply (to $676M net in Q1 2026 from $1.2B a year earlier), signaling reduced origination activity rather than pipeline expansion [3]. R&amp;D Intensity (0/1): Not applicable/no evidence of R&amp;D spend relevant to a lending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OBDC's stated purpose — providing flexible capital to support middle-market company growth — is generic and interchangeable with any direct lender or BDC peer (Ares, Blackstone Secured Lending, FS KKR), with no evidence of a distinctive articulated purpose. Community Impact (0/2): No evidence found of charitable giving, foundation activity, or community investment programs. Employee Retention (0/2): As an externally-managed vehicle with no direct employees of its own (staffed by Blue Owl), no retention or tenure data applies or was found. Insider Buying (0/2): No evidence of meaningful net insider buying by CEO Craig Packer or other Blue Owl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(dividend-stock weighting: Consecutive Years Paid 2x, 5yr Dividend Growth CAGR 2x). D/E of 112% (typical BDC regulatory leverage) scores 0.82 against the 70%/300% range. ROE of 3.92% scores only 0.26 against the 15% target, reflecting the earnings compression from widening credit spreads and NAV markdowns [2]. Revenue (total investment income) growth of 15.94% YoY and a 5-year CAGR of 15.92% both clear the 10% target (capped at 1.0), and Forward P/E of 8.73x scores a strong 1.0. Profit margin of 16.99% scores 0.85. The dividend metrics are the weak spot: payout ratio of 240.58% breaches the 100% floor entirely (scoring 0), the company has only 5 consecutive years of dividend payments since its 2021 IPO (scoring 0.5 at 2x weight), and the July 2026 base dividend cut (-16%, from $0.37 to $0.31) resets consecutive years of growth to 0 and pressures the 5-year dividend growth CAGR toward roughly flat (scoring 0 at 2x weight). Liquidity clears the floor easily at ~$50.4M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OBDC functions as a capital-allocation vehicle within Blue Owl's broader asset management platform, and available evidence does not support a distinctive Just Cause beyond generating risk-adjusted returns for shareholders. The July 2026 base dividend cut to restore payout coverage was a pragmatic, arguably courageous capital-preservation decision, but the sharp pullback in new investment commitments and NAV decline reflect a business currently playing defense rather than one built around 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was found of an articulated purpose beyond providing capital and generating returns; management commentary centers on portfolio credit quality, NAV, and dividend coverage rather than a service-oriented vision extending beyond the lending relationship.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externally-managed BDC with no employees of its own, no data on organizational trust, tenure, or psychological safety applies or was found; this structural opacity means no evidence supports a high-trust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Blue Owl or OBDC leadership framing competition with Ares, Blackstone, or FS KKR as a source of self-improvement; available commentary discusses the competitive direct lending landscape in terms of spread compression and origination volume rather than a worthy-rival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Blue Owl has consolidated its public BDC vehicles to build scale and liquidity within its credit platform, showing some willingness to restructure the business, though this is incremental platform optimization rather than a transformative reinvention of the lending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base dividend 16% (from $0.37 to $0.31) in Q1 2026 rather than maintaining an uncovered payout was a difficult, market-negative decision (shares fell over 6% on the news) that prioritized long-term sustainability and NAV protection over near-term shareholder appeasement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OBDC offers an 11.15% dividend yield backed by a $16.5B middle-market credit portfolio where non-accruals remain low (1.0% of fair value, improved from 1.1% at year-end 2025) and interest coverage holds around 2x, with Moody's upgrading the credit rating to Baa2 in January 2026 [1][2]. Management proactively cut the base dividend 16% in Q1 2026 to restore 100% payout coverage rather than continuing an unsustainable distribution, and Q2 2026 adjusted net investment income of $0.34/share (up from $0.31) delivered a 9.6% annualized return on equity, more than 100bps above the prior quarter [1]. Forward P/E of 8.73x is inexpensive, and the company maintains ~$3.5B in liquidity with an active $35M share repurchase program.</w:t>
      </w:r>
    </w:p>
    <w:p>
      <w:pPr>
        <w:spacing w:after="120"/>
      </w:pPr>
      <w:r>
        <w:rPr>
          <w:rFonts w:ascii="Calibri" w:hAnsi="Calibri"/>
          <w:b w:val="0"/>
          <w:color w:val="3A4A28"/>
          <w:sz w:val="20"/>
        </w:rPr>
        <w:t>The bear case centers on earnings power and capital deployment trends that have deteriorated meaningfully. NAV per share fell from $14.81 to $14.26 over two quarters in 2026 on mark-to-market losses as credit spreads widened, and new investment commitments collapsed to $676M net in Q1 2026 from $1.2B a year earlier, signaling a slowdown in origination that pressures future income growth [2][3]. ROE of only 3.92% is well below the 15% target for the sector, and a payout ratio of 240.58% shows the prior dividend was structurally uncovered before the cut — with zero consecutive years of dividend growth now and only a 5-year payment history since the 2021 IPO, income durability is unproven through a full credit cycle. The stock's proximity to its 52-week low following the dividend cut reflects market skepticism that risks further reductions if spread widening or credit deterioration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dividend coverage restored to 100% following the base dividend cut, with adjusted NII per share rising to $0.34 from $0.31 sequentially — evidence the reset dividend level may now be sustainable [1]</w:t>
      </w:r>
    </w:p>
    <w:p>
      <w:pPr>
        <w:spacing w:before="40" w:after="40"/>
        <w:ind w:left="283"/>
      </w:pPr>
      <w:r>
        <w:rPr>
          <w:rFonts w:ascii="Calibri" w:hAnsi="Calibri"/>
          <w:b/>
          <w:color w:val="4A6B25"/>
          <w:sz w:val="20"/>
        </w:rPr>
        <w:t xml:space="preserve">2. </w:t>
      </w:r>
      <w:r>
        <w:rPr>
          <w:rFonts w:ascii="Calibri" w:hAnsi="Calibri"/>
          <w:b w:val="0"/>
          <w:color w:val="3A4A28"/>
          <w:sz w:val="20"/>
        </w:rPr>
        <w:t>Moody's upgrade to Baa2 in January 2026 reflecting improved credit profile and liability management could lower OBDC's cost of capital and support NAV stabilization [2]</w:t>
      </w:r>
    </w:p>
    <w:p>
      <w:pPr>
        <w:spacing w:before="40" w:after="40"/>
        <w:ind w:left="283"/>
      </w:pPr>
      <w:r>
        <w:rPr>
          <w:rFonts w:ascii="Calibri" w:hAnsi="Calibri"/>
          <w:b/>
          <w:color w:val="4A6B25"/>
          <w:sz w:val="20"/>
        </w:rPr>
        <w:t xml:space="preserve">3. </w:t>
      </w:r>
      <w:r>
        <w:rPr>
          <w:rFonts w:ascii="Calibri" w:hAnsi="Calibri"/>
          <w:b w:val="0"/>
          <w:color w:val="3A4A28"/>
          <w:sz w:val="20"/>
        </w:rPr>
        <w:t>Portfolio credit quality remains resilient with no new non-accruals and borrower revenue/EBITDA growth in the high single digits, suggesting underlying middle-market fundamentals have not deteriorated as much as the stock price implies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investment commitments fell to $676M net in Q1 2026 from $1.2B a year earlier — a sustained origination slowdown would compress future net investment income and could pressure the recently-cut dividend again [3]</w:t>
      </w:r>
    </w:p>
    <w:p>
      <w:pPr>
        <w:spacing w:before="40" w:after="40"/>
        <w:ind w:left="283"/>
      </w:pPr>
      <w:r>
        <w:rPr>
          <w:rFonts w:ascii="Calibri" w:hAnsi="Calibri"/>
          <w:b/>
          <w:color w:val="4A6B25"/>
          <w:sz w:val="20"/>
        </w:rPr>
        <w:t xml:space="preserve">2. </w:t>
      </w:r>
      <w:r>
        <w:rPr>
          <w:rFonts w:ascii="Calibri" w:hAnsi="Calibri"/>
          <w:b w:val="0"/>
          <w:color w:val="3A4A28"/>
          <w:sz w:val="20"/>
        </w:rPr>
        <w:t>NAV per share declined for two consecutive quarters (from $14.81 to $14.26) on widening credit spreads — continued spread widening or a credit cycle downturn would further erode book value and shareholder returns</w:t>
      </w:r>
    </w:p>
    <w:p>
      <w:pPr>
        <w:spacing w:before="40" w:after="40"/>
        <w:ind w:left="283"/>
      </w:pPr>
      <w:r>
        <w:rPr>
          <w:rFonts w:ascii="Calibri" w:hAnsi="Calibri"/>
          <w:b/>
          <w:color w:val="4A6B25"/>
          <w:sz w:val="20"/>
        </w:rPr>
        <w:t xml:space="preserve">3. </w:t>
      </w:r>
      <w:r>
        <w:rPr>
          <w:rFonts w:ascii="Calibri" w:hAnsi="Calibri"/>
          <w:b w:val="0"/>
          <w:color w:val="3A4A28"/>
          <w:sz w:val="20"/>
        </w:rPr>
        <w:t>ROE of 3.92% is well below the 15% target for a healthy BDC, and with a 5-year dividend history through only one full credit cycle, income investors have limited evidence the payout will hold if middle-market credit conditions worsen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OBDC's business is underwriting and structuring direct loans to middle-market companies — a capital allocation and credit judgment function that AI cannot autonomously replace given the regulatory, fiduciary, and relationship-driven nature of private credit origination. If anything, AI infrastructure buildout is expanding the universe of borrowers (data centers, AI-adjacent tech companies) needing private credit financing, and no analyst commentary was found flagging AI substitution risk for direct lenders. AI Opportunity (0/1): No evidence found of OBDC or Blue Owl's credit platform generating quantifiable AI-related revenue or deploying AI in underwriting with disclosed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Corporation Q1/Q2 2026 Financial Results — NAV Decline, Portfolio Composition — PR Newswire, Blue Owl Capital Corporation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Corporation Credit Quality and Moody's Upgrade — Craig Packer Commentary, Non-Accrual Data — Blue Owl IR, SEC 10-K Filings, January-March 2026</w:t>
      </w:r>
    </w:p>
    <w:p>
      <w:pPr>
        <w:spacing w:before="20" w:after="20"/>
        <w:ind w:left="170"/>
      </w:pPr>
      <w:r>
        <w:rPr>
          <w:rFonts w:ascii="Calibri" w:hAnsi="Calibri"/>
          <w:b/>
          <w:color w:val="4A6B25"/>
          <w:sz w:val="15"/>
        </w:rPr>
        <w:t xml:space="preserve">3. </w:t>
      </w:r>
      <w:r>
        <w:rPr>
          <w:rFonts w:ascii="Calibri" w:hAnsi="Calibri"/>
          <w:b w:val="0"/>
          <w:color w:val="3A4A28"/>
          <w:sz w:val="17"/>
        </w:rPr>
        <w:t>Blue Owl Capital Q1 2026 Dividend Cut and Origination Slowdown — Investing.com, TheStreet, BigGo Finance, Seeking Alpha,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OBDC Key Statistics and Financials: Forward P/E 8.73x, ROE 3.92%, D/E 112%, 5yr Revenue CAGR 15.92%, Dividend Yield 11.15%, Stock Price $11.30,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