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OC</w:t>
      </w:r>
      <w:r>
        <w:rPr>
          <w:rFonts w:ascii="Calibri" w:hAnsi="Calibri"/>
          <w:b/>
          <w:color w:val="1A2010"/>
          <w:sz w:val="40"/>
        </w:rPr>
        <w:t xml:space="preserve">  Owens Corning</w:t>
      </w:r>
    </w:p>
    <w:p>
      <w:pPr>
        <w:spacing w:after="120"/>
      </w:pPr>
      <w:r>
        <w:rPr>
          <w:rFonts w:ascii="Calibri" w:hAnsi="Calibri"/>
          <w:b/>
          <w:color w:val="6E8450"/>
          <w:sz w:val="18"/>
        </w:rPr>
        <w:t>DIVIDEND SLEEVE · 2026-07-28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NYSE · United States</w:t>
      </w:r>
    </w:p>
    <w:p>
      <w:pPr>
        <w:spacing w:after="80"/>
      </w:pPr>
      <w:r>
        <w:rPr>
          <w:rFonts w:ascii="Calibri" w:hAnsi="Calibri"/>
          <w:b w:val="0"/>
          <w:color w:val="3A4A28"/>
          <w:sz w:val="20"/>
        </w:rPr>
        <w:t>Owens Corning is a global building and construction materials leader operating through three segments: Roofing (asphalt shingles and roofing components), Insulation (thermal, acoustical, and specialty insulation products including the iconic PINK FIBERGLAS brand), and Doors (residential interior and exterior doors acquired through the 2024 Masonite acquisition). Recently completed portfolio shift to branded building products leader with divestiture of glass reinforcements business.</w:t>
      </w:r>
    </w:p>
    <w:p>
      <w:r>
        <w:rPr>
          <w:rFonts w:ascii="Calibri" w:hAnsi="Calibri"/>
          <w:b/>
          <w:color w:val="6E8450"/>
          <w:sz w:val="18"/>
        </w:rPr>
        <w:t>25,000 Employees · https://www.owenscorning.com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Owens Corning completed a transformative portfolio shift in Q1 2026 — divesting the glass reinforcements business while integrating the $3.9B Masonite door acquisition — repositioning as a branded building products leader across Roofing, Insulation, and Doors [1]. Q1 2026 adjusted EPS of $1.22 beat consensus by 26.5%, and Q2 guidance of $2.65B revenue with 20-22% adjusted EBITDA margin exceeded estimates [1]. AI Deployment (1/2): CIO Annie Baymiller was promoted to EVP to accelerate deployment of generative AI and agentic AI in manufacturing processes, with machine learning used for anomaly detection and process optimization across production facilities [2]. No quantified AI revenue or savings disclosed. Market Share (2/2): Owens Corning is the #1 or #2 producer in both roofing and insulation in North America, with the iconic PINK FIBERGLAS brand providing durable brand recognition and pricing power in the insulation category [1][4]. Pipeline (1/2): Masonite integration delivering $125M+ in cost synergies ahead of the mid-2026 target, with an additional $75M in structural cost improvements planned through network optimization [1]. Chief Innovation Officer José Méndez-Andino appointed December 2025 to drive cross-segment product development. R&amp;D Intensity (0/1): Building materials companies typically invest 1-2% of revenue in R&amp;D, below the industrial average; while the CInO appointment signals commitment, no data shows above-average R&amp;D spending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Owens Corning's sustainability mission — reducing environmental impact while providing building materials that improve energy efficiency and comfort — is specific and thoughtful, backed by ambitious 2030 targets including recycling 1.4 billion pounds of glass annually, achieving 35% women in mid-level leadership, and comprehensive supplier responsibility programs [3]. CEO Brian Chambers positions sustainability as integral to competitive strategy rather than an afterthought, and 13 consecutive years on the DJSI World Index validate execution. Community Impact (1/2): Named one of the World's Most Ethical Companies by Ethisphere for 5 consecutive years and one of just three honorees in the Construction and Building Materials industry [3]. The company's recycled glass usage and supplier sustainability assessments demonstrate tangible community and environmental investment, though specific charitable giving amounts are not prominently disclosed. Employee Retention (1/2): Glassdoor reviews are mixed — some describe leaders as 'very family-centric offering flexibility' with good advancement opportunities, while others cite 'constant turnover of leadership,' lack of transparency, and forced return-to-office policies [2]. Average for a large industrial company. Insider Buying (0/2): Board and executive stock awards demonstrate equity alignment, but no meaningful open-market insider purchases by executives were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Financial profile reflects a company in mid-transition: Q1 2026 net sales from continuing operations of $2.3B were down 10% YoY due to weak repair/remodel demand and a less active storm season, but adjusted EBITDA of $369M (16.3% margin) beat consensus by 7.5% [1]. Forward P/E of 14.1x on $9.17 consensus EPS estimate is very attractive for a market-leading industrial franchise (scores 1.0), and Q2 guidance of 20-22% EBITDA margin signals margin normalization [1]. D/E of 151% reflects Masonite acquisition debt but is manageable for a $10B+ revenue business. TTM ROE of -9.5% and net margin of -4.1% are temporarily distorted by glass reinforcements divestiture charges — forward payout ratio of 34.5% ($3.16 dividend/$9.17 EPS) confirms strong underlying profitability [4]. Dividend metrics are exceptional: 13 consecutive years paid, 6 consecutive years of growth, and ~20% 5-year dividend growth CAGR reflecting aggressive capital return. Liquidity floor easily cleared at $208M daily volume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Owens Corning under CEO Brian Chambers demonstrates strong infinite game characteristics — a genuine sustainability mission with measurable 2030 targets, transformative existential flexibility in the Masonite acquisition and glass reinforcements divestiture, and consistent investment in long-term capabilities. The 88-year corporate history and deliberate Chief Innovation Officer appointment signal a company playing to keep playing, though the trust environment has room for improvement.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Owens Corning's sustainability mission — reducing environmental impact while providing building materials that improve energy efficiency — is genuine and partially lived out through specific 2030 targets, 1.4B pounds of recycled glass annually, and 13 consecutive years on the DJSI World Index [3]. CEO Chambers has positioned sustainability as integral to competitive strategy. The mission is distinctive for a building materials company but hasn't been proven through the multi-decade consistency that earns a full 3/3 — the sustainability framing is relatively recent compared to the 88-year company history.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describe a family-centric leadership culture with flexibility and advancement opportunities [2]. CEO Chambers has provided stable leadership since 2020 and the executive team includes seasoned operators. However, some reviews flag 'constant turnover of leadership,' lack of transparency, and forced return-to-office policies, suggesting the trust environment varies significantly across the 25,000-employee organization. The portfolio transition adds organizational stress.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Owens Corning competes against GAF (roofing), CertainTeed/Saint-Gobain (insulation), and Therma-Tru/Pella (doors), and management's language focuses on product innovation, brand strength, and customer value creation rather than competitor destruction [1]. The appointment of a Chief Innovation Officer to advance product leadership across segments reflects an improvement-oriented competitive mindset, and the Masonite acquisition was framed as expanding capabilities rather than crushing a rival.</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$3.9B Masonite acquisition in 2024 combined with the Q1 2026 divestiture of the glass reinforcements business fundamentally transformed Owens Corning from a two-segment composites/building products company into a three-segment branded building products platform [1]. This was a bold strategic reinvention — the company abandoned a legacy business line (glass reinforcements) that had been part of its identity for decades, entering the entirely new doors category. The $125M+ synergy achievement ahead of schedule validates the strategic conviction behind this transformative bet.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$3.9B Masonite acquisition was a courageous capital allocation decision that added significant leverage (D/E 151%) during uncertain housing market conditions [1]. Additionally, raising the dividend 14.5% (from $0.69 to $0.79/quarter) despite a GAAP net loss in FY2025 showed confidence in underlying earnings power and commitment to long-term shareholder returns over short-term optics [4]. However, these decisions were made from a position of operational strength, moderating the courage required.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Owens Corning is a market-leading building products franchise completing a transformative portfolio shift to branded building products (Roofing, Insulation, Doors) after divesting glass reinforcements in Q1 2026 [1]. Despite a 10% Q1 revenue decline from weak repair/remodel demand, adjusted EPS of $1.22 beat consensus by 26.5%, and Q2 guidance of $2.65B revenue with 20-22% adjusted EBITDA margin exceeded expectations [1]. The stock trades at 14.1x forward earnings with consensus EPS of $9.17 (9 analysts revised upward), and the dividend has compounded at ~20% CAGR over 5 years with a conservative 34.5% forward payout ratio [4]. Masonite integration is delivering $125M+ in synergies ahead of schedule with an additional $75M in structural savings planned, while the DJSI World Index inclusion for 13 consecutive years validates the sustainability-driven strategy.</w:t>
      </w:r>
    </w:p>
    <w:p>
      <w:pPr>
        <w:spacing w:after="120"/>
      </w:pPr>
      <w:r>
        <w:rPr>
          <w:rFonts w:ascii="Calibri" w:hAnsi="Calibri"/>
          <w:b w:val="0"/>
          <w:color w:val="3A4A28"/>
          <w:sz w:val="20"/>
        </w:rPr>
        <w:t>The bear case centers on cyclical housing exposure and portfolio transition risk. Q1 2026 revenue from continuing operations declined 10% YoY due to weak repair/remodel demand and a less active storm season, and prolonged elevated mortgage rates could suppress both new construction and renovation activity across all three segments [1]. D/E of 151% reflects Masonite acquisition debt that must be serviced during a housing slowdown, and TTM ROE of -9.5% and net margin of -4.1% — distorted by divestiture charges — may persist in trailing metrics for several quarters [4]. The stock has declined 26% from its 52-week high despite the valuation being optically cheap, suggesting the market is pricing in continued near-term weakness. The company's 5-year revenue CAGR of just 1.2% (net of acquisitions and divestitures) raises questions about organic growth potential absent a housing recovery. Mixed Glassdoor reviews citing leadership turnover and lack of transparency signal organizational stress during the portfolio transformation.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Masonite integration delivering $125M+ cost synergies ahead of schedule with additional $75M structural savings planned through network optimization, potentially driving margin expansion to 22%+ adjusted EBITDA [1]</w:t>
      </w:r>
    </w:p>
    <w:p>
      <w:pPr>
        <w:spacing w:before="40" w:after="40"/>
        <w:ind w:left="283"/>
      </w:pPr>
      <w:r>
        <w:rPr>
          <w:rFonts w:ascii="Calibri" w:hAnsi="Calibri"/>
          <w:b/>
          <w:color w:val="4A6B25"/>
          <w:sz w:val="20"/>
        </w:rPr>
        <w:t xml:space="preserve">2. </w:t>
      </w:r>
      <w:r>
        <w:rPr>
          <w:rFonts w:ascii="Calibri" w:hAnsi="Calibri"/>
          <w:b w:val="0"/>
          <w:color w:val="3A4A28"/>
          <w:sz w:val="20"/>
        </w:rPr>
        <w:t>Housing cycle recovery — pent-up demand from years of underbuilding (1.5M+ unit deficit per NAHB estimates) could drive significant volume growth across Roofing, Insulation, and Doors as mortgage rates normalize</w:t>
      </w:r>
    </w:p>
    <w:p>
      <w:pPr>
        <w:spacing w:before="40" w:after="40"/>
        <w:ind w:left="283"/>
      </w:pPr>
      <w:r>
        <w:rPr>
          <w:rFonts w:ascii="Calibri" w:hAnsi="Calibri"/>
          <w:b/>
          <w:color w:val="4A6B25"/>
          <w:sz w:val="20"/>
        </w:rPr>
        <w:t xml:space="preserve">3. </w:t>
      </w:r>
      <w:r>
        <w:rPr>
          <w:rFonts w:ascii="Calibri" w:hAnsi="Calibri"/>
          <w:b w:val="0"/>
          <w:color w:val="3A4A28"/>
          <w:sz w:val="20"/>
        </w:rPr>
        <w:t>Forward P/E of 14.1x with 9 analysts revising EPS estimates upward creates a compelling risk/reward entry point if housing volumes stabilize at current levels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revenue declined 10% YoY from continuing operations — prolonged high mortgage rates suppressing housing starts and renovation activity could further pressure top-line growth across all three segments [1]</w:t>
      </w:r>
    </w:p>
    <w:p>
      <w:pPr>
        <w:spacing w:before="40" w:after="40"/>
        <w:ind w:left="283"/>
      </w:pPr>
      <w:r>
        <w:rPr>
          <w:rFonts w:ascii="Calibri" w:hAnsi="Calibri"/>
          <w:b/>
          <w:color w:val="4A6B25"/>
          <w:sz w:val="20"/>
        </w:rPr>
        <w:t xml:space="preserve">2. </w:t>
      </w:r>
      <w:r>
        <w:rPr>
          <w:rFonts w:ascii="Calibri" w:hAnsi="Calibri"/>
          <w:b w:val="0"/>
          <w:color w:val="3A4A28"/>
          <w:sz w:val="20"/>
        </w:rPr>
        <w:t>D/E of 151% from the Masonite acquisition creates elevated financial risk; the stock's 26% decline from 52-week highs suggests the market is skeptical of near-term deleveraging potential [4]</w:t>
      </w:r>
    </w:p>
    <w:p>
      <w:pPr>
        <w:spacing w:before="40" w:after="40"/>
        <w:ind w:left="283"/>
      </w:pPr>
      <w:r>
        <w:rPr>
          <w:rFonts w:ascii="Calibri" w:hAnsi="Calibri"/>
          <w:b/>
          <w:color w:val="4A6B25"/>
          <w:sz w:val="20"/>
        </w:rPr>
        <w:t xml:space="preserve">3. </w:t>
      </w:r>
      <w:r>
        <w:rPr>
          <w:rFonts w:ascii="Calibri" w:hAnsi="Calibri"/>
          <w:b w:val="0"/>
          <w:color w:val="3A4A28"/>
          <w:sz w:val="20"/>
        </w:rPr>
        <w:t>Portfolio transition complexity — integrating $3.9B Masonite acquisition while simultaneously divesting glass reinforcements creates execution risk and organizational distraction during a weak demand environment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Owens Corning manufactures physical building materials — roofing shingles, fiberglass insulation, and doors — that AI structurally cannot replace [1]. Construction materials require physical production in manufacturing plants, distribution through contractor and home center networks, and installation by skilled tradespeople. Competitive moats are built on manufacturing scale, the iconic PINK FIBERGLAS brand, and distribution relationships — none susceptible to AI substitution. AI-driven energy efficiency mandates and building code modernization could actually increase demand for OC's insulation products as housing stock upgrades accelerate. The company is actively deploying generative AI and agentic AI in manufacturing processes for anomaly detection and process optimization [2]. AI Opportunity (0/1): No evidence of AI-generated revenue. AI deployment is focused entirely on internal manufacturing efficiency rather than revenue-generating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Owens Corning Q1 2026 Earnings Release — $2.3B Net Sales from Continuing Ops, Adj EPS $1.22, Q2 Guidance $2.65B at 20-22% EBITDA Margin, April 2026</w:t>
      </w:r>
    </w:p>
    <w:p>
      <w:pPr>
        <w:spacing w:before="20" w:after="20"/>
        <w:ind w:left="170"/>
      </w:pPr>
      <w:r>
        <w:rPr>
          <w:rFonts w:ascii="Calibri" w:hAnsi="Calibri"/>
          <w:b/>
          <w:color w:val="4A6B25"/>
          <w:sz w:val="15"/>
        </w:rPr>
        <w:t xml:space="preserve">2. </w:t>
      </w:r>
      <w:r>
        <w:rPr>
          <w:rFonts w:ascii="Calibri" w:hAnsi="Calibri"/>
          <w:b w:val="0"/>
          <w:color w:val="3A4A28"/>
          <w:sz w:val="17"/>
        </w:rPr>
        <w:t>Owens Corning Leadership — CEO Brian Chambers, CIO Annie Baymiller (AI deployment), CInO José Méndez-Andino, Glassdoor Reviews,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Owens Corning Sustainability — DJSI World Index 13 years, World's Most Ethical Companies, 2030 Goals, Sustainalytics Low Risk Rating,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Yahoo Finance — OC Key Statistics, Forward P/E 14.07, D/E 151%, Dividend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