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OIS</w:t>
      </w:r>
      <w:r>
        <w:rPr>
          <w:rFonts w:ascii="Calibri" w:hAnsi="Calibri"/>
          <w:b/>
          <w:color w:val="1A2010"/>
          <w:sz w:val="40"/>
        </w:rPr>
        <w:t xml:space="preserve">  Oil States International, Inc.</w:t>
      </w:r>
    </w:p>
    <w:p>
      <w:pPr>
        <w:spacing w:after="120"/>
      </w:pPr>
      <w:r>
        <w:rPr>
          <w:rFonts w:ascii="Calibri" w:hAnsi="Calibri"/>
          <w:b/>
          <w:color w:val="6E8450"/>
          <w:sz w:val="18"/>
        </w:rPr>
        <w:t>GROWTH SLEEVE · 2026-08-06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Oil States International, Inc. provides engineered capital equipment and consumable products for energy, industrial, and military sectors worldwide. Operates through three segments: Offshore Manufactured Products (subsea connectors, marine risers, cranes), Completion and Production Services, and Downhole Technologies (perforating systems, shaped charges). CEO Lloyd Hajdik assumed leadership in May 2026. Market cap approximately $507 million.</w:t>
      </w:r>
    </w:p>
    <w:p>
      <w:r>
        <w:rPr>
          <w:rFonts w:ascii="Calibri" w:hAnsi="Calibri"/>
          <w:b/>
          <w:color w:val="6E8450"/>
          <w:sz w:val="18"/>
        </w:rPr>
        <w:t>4,500 Employees · https://www.oilstatesintl.com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Oil States diversified its revenue base from US onshore oil dependence to a mix where offshore and international activity now exceeds 70% of consolidated revenue, and military products represent 48% of the record $451M backlog — a meaningful strategic pivot that opened new revenue streams over the past 3-5 years [1]. However, the transformation was incremental and reactive to the US onshore downturn rather than a proactive reinvention. AI Deployment (0/2): No evidence of AI deployment in products, operations, or R&amp;D. Oil States remains a traditional engineered equipment manufacturer with no AI strategy evident in public communications [3]. Market Share (1/2): Oil States holds meaningful niche positions in subsea connectors, offshore crane manufacturing, and military perforating products, but is not a category leader or dominant share player in any large addressable market [1]. Product Pipeline (1/2): Downhole technology volumes for shaped charges are doubling quarter-over-quarter, and the military backlog provides multi-year order visibility, but no specific next-generation products with defined launch timelines have been announced [1]. R&amp;D Intensity (0/1): No evidence of above-average R&amp;D investment relative to oilfield services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Oil States does not prominently articulate a purpose or mission beyond its operational description of providing 'engineered capital equipment and consumable products for energy, industrial, and military sectors' [3]. No distinctive vision statement connecting the company's work to a larger purpose was found in public materials. The company appears to exist to serve its end markets without a deeper aspirational cause. Community Impact (0/2): No evidence of significant charitable foundations, community investment programs, or distinctive philanthropic initiatives in publicly available information [3]. Employee Retention (0/2): No publicly available data on employee tenure, voluntary turnover, or cultural characteristics [3]. Insider Buying (0/2): No evidence of meaningful insider buying activity was found in recent searches. The company repurchased $5M in shares in Q2 2026 as a corporate action, but this reflects capital allocation policy rather than individual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balance sheet is a strength — D/E of 10% reflects near-zero leverage with only $18M outstanding debt against $20M cash, providing financial flexibility through the cycle [1][2]. Forward P/E of 18.08 is below the 20 target, reflecting reasonable valuation for a cyclical recovery story [2]. However, profitability metrics are deeply negative — ROE of -17.45% and profit margin of -16.78% both score at the floor, reflecting the company's transition from TTM losses to early-stage profitability (Q2 GAAP net income $6M) [1][2]. Revenue is declining — FY2025 revenue of $669M fell 3.4% from FY2024's $693M, and FY2026 guidance of $640-660M implies further contraction despite record backlog, as geopolitical delays push Middle East revenue into 2027 [1]. The 5-year revenue CAGR of approximately 8.2% (from COVID-depressed 2020 base) masks the recent decline from the 2023 peak of $782M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Oil States International operates as a finite game player focused on navigating commodity cycles and converting backlog into revenue quarter by quarter. The company lacks a publicly articulated purpose beyond serving its end markets, and strategic decisions appear driven by market conditions rather than a Just Cause. The orderly CEO succession and military diversification show some organizational stability and long-term thinking, but the company's identity is tied to cyclical energy markets rather than an enduring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Oil States does not articulate a vision of a future state that inspires sacrifice or commitment beyond profit [3]. The company exists to manufacture and sell engineered equipment for energy and military customers. There is no publicly stated Just Cause, no aspirational mission connecting the work to a larger purpose, and strategic decisions appear driven by market opportunity (pivoting to military when onshore oil weakened) rather than a guiding purpose. This is a finite player by Sinek's criteria.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succession from Cindy Taylor to Lloyd Hajdik in May 2026 was an orderly internal promotion — Hajdik has been with Oil States since 2013 (13 years), and CFO Matthew Autenrieth was also promoted from within [3]. These internal promotions suggest organizational stability and leadership continuity. However, no specific data on employee culture, turnover, or organizational trust is publicly available, and the cyclical nature of oilfield services typically involves workforce fluctuations that can strain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or framing competition as an opportunity to improve [1]. Oil States competes against TechnipFMC, Baker Hughes, and Hunting PLC in various segments, but public communications focus on backlog conversion, market conditions, and internal execution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Oil States evolved its revenue mix meaningfully — offshore and international activity now exceeds 70% of revenue (up from a US onshore-dominated mix), and military products grew to 48% of the $451M backlog, providing diversification away from volatile US drilling cycles [1]. This shift was driven by market conditions rather than a proactive vision, but the company demonstrated willingness to follow demand into new end markets (military, international) rather than clinging to its US onshore heritage.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Oil States maintained its conservative balance sheet strategy (D/E 10%, near-zero net debt) through the oil services downcycle, resisting the temptation to leverage up for growth or pursue aggressive M&amp;A [1]. Management continued investing in military and offshore capabilities during periods of declining revenue, and the planned CEO succession demonstrates deliberate long-term organizational planning. However, no specific example of a costly, principled decision that sacrificed near-term results for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Oil States achieved a decade-high backlog of $451M (up 24% YoY) with a 1.2x book-to-bill ratio in Q2 2026, driven by diversification into military products (48% of backlog) and offshore/international markets (70%+ of revenue) [1]. The company returned to profitability in Q2 with $6M GAAP net income, and the balance sheet is effectively debt-free ($18M debt vs $20M cash). Management expects $35-40M in full-year free cash flow and guided FY2026 revenue of $640-660M with EBITDA of $77-83M [1]. The military backlog provides multi-year visibility that insulates against oil price volatility, and shaped charge volumes are doubling QoQ in the Downhole segment. At $8.42 per share with a forward P/E of 18.08, valuation is reasonable for a cyclical recovery.</w:t>
      </w:r>
    </w:p>
    <w:p>
      <w:pPr>
        <w:spacing w:after="120"/>
      </w:pPr>
      <w:r>
        <w:rPr>
          <w:rFonts w:ascii="Calibri" w:hAnsi="Calibri"/>
          <w:b w:val="0"/>
          <w:color w:val="3A4A28"/>
          <w:sz w:val="20"/>
        </w:rPr>
        <w:t>Revenue continues to decline — FY2026 guidance of $640-660M represents a ~1-4% decline from FY2025's $669M despite record backlog, as geopolitical uncertainty in the Middle East delays connector and production facility orders into 2027 [1]. The company has contracted from its $782M revenue peak in FY2023 to an expected $650M in FY2026, a 17% decline that raises questions about the backlog's ability to convert into sustained top-line growth [4]. Profitability remains fragile — TTM ROE of -17.45% and profit margin of -16.78% indicate the company has only just returned to GAAP profitability and margin expansion is uncertain [2]. The 48% military backlog concentration means 12-month conversion rates are lower (~55% vs historical 65-70%), creating extended revenue recognition timelines that could frustrate near-term expectations. Small market cap ($507M) and oilfield services sector exposure add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$451M backlog with 1.2x book-to-bill provides 2.8 quarters of revenue visibility, with military product awards offering multi-year conversion timelines that reduce cyclical volatility</w:t>
      </w:r>
    </w:p>
    <w:p>
      <w:pPr>
        <w:spacing w:before="40" w:after="40"/>
        <w:ind w:left="283"/>
      </w:pPr>
      <w:r>
        <w:rPr>
          <w:rFonts w:ascii="Calibri" w:hAnsi="Calibri"/>
          <w:b/>
          <w:color w:val="4A6B25"/>
          <w:sz w:val="20"/>
        </w:rPr>
        <w:t xml:space="preserve">2. </w:t>
      </w:r>
      <w:r>
        <w:rPr>
          <w:rFonts w:ascii="Calibri" w:hAnsi="Calibri"/>
          <w:b w:val="0"/>
          <w:color w:val="3A4A28"/>
          <w:sz w:val="20"/>
        </w:rPr>
        <w:t>Resolution of Middle East geopolitical delays could unlock deferred connector and production facility orders currently pushed from 2026 into 2027, providing upside to revenue guidance</w:t>
      </w:r>
    </w:p>
    <w:p>
      <w:pPr>
        <w:spacing w:before="40" w:after="40"/>
        <w:ind w:left="283"/>
      </w:pPr>
      <w:r>
        <w:rPr>
          <w:rFonts w:ascii="Calibri" w:hAnsi="Calibri"/>
          <w:b/>
          <w:color w:val="4A6B25"/>
          <w:sz w:val="20"/>
        </w:rPr>
        <w:t xml:space="preserve">3. </w:t>
      </w:r>
      <w:r>
        <w:rPr>
          <w:rFonts w:ascii="Calibri" w:hAnsi="Calibri"/>
          <w:b w:val="0"/>
          <w:color w:val="3A4A28"/>
          <w:sz w:val="20"/>
        </w:rPr>
        <w:t>Shaped charge volumes doubling quarter-over-quarter in Downhole Technologies segment signals a potential inflection point in US completions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from $782M (FY2023) to guided $640-660M (FY2026) despite record backlog, as long-cycle military contracts and Middle East delays extend conversion timelines beyond near-term periods</w:t>
      </w:r>
    </w:p>
    <w:p>
      <w:pPr>
        <w:spacing w:before="40" w:after="40"/>
        <w:ind w:left="283"/>
      </w:pPr>
      <w:r>
        <w:rPr>
          <w:rFonts w:ascii="Calibri" w:hAnsi="Calibri"/>
          <w:b/>
          <w:color w:val="4A6B25"/>
          <w:sz w:val="20"/>
        </w:rPr>
        <w:t xml:space="preserve">2. </w:t>
      </w:r>
      <w:r>
        <w:rPr>
          <w:rFonts w:ascii="Calibri" w:hAnsi="Calibri"/>
          <w:b w:val="0"/>
          <w:color w:val="3A4A28"/>
          <w:sz w:val="20"/>
        </w:rPr>
        <w:t>TTM profitability metrics remain deeply negative (ROE -17.45%, profit margin -16.78%), and the Q2 2026 return to GAAP profitability at $6M net income could reverse if revenue guidance misses or margins compress</w:t>
      </w:r>
    </w:p>
    <w:p>
      <w:pPr>
        <w:spacing w:before="40" w:after="40"/>
        <w:ind w:left="283"/>
      </w:pPr>
      <w:r>
        <w:rPr>
          <w:rFonts w:ascii="Calibri" w:hAnsi="Calibri"/>
          <w:b/>
          <w:color w:val="4A6B25"/>
          <w:sz w:val="20"/>
        </w:rPr>
        <w:t xml:space="preserve">3. </w:t>
      </w:r>
      <w:r>
        <w:rPr>
          <w:rFonts w:ascii="Calibri" w:hAnsi="Calibri"/>
          <w:b w:val="0"/>
          <w:color w:val="3A4A28"/>
          <w:sz w:val="20"/>
        </w:rPr>
        <w:t>Small market cap ($507M) and 52-week price range of $4.75-$14.50 reflect extreme stock volatility typical of micro-cap oilfield services companies exposed to commodity cycles and geopolitical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States' core business — manufacturing subsea connectors, marine risers, offshore cranes, perforating systems, and military explosive shaped charges — is entirely physical, heavily engineered, and deeply tied to real-world infrastructure that AI structurally cannot replace [1][3]. The products require precision metallurgy, pressure-rated manufacturing, military certification, and field deployment in extreme environments (deepwater subsea, military operations). AI may modestly improve manufacturing efficiency or design processes, but cannot substitute for the physical equipment. No analyst has flagged AI disruption as a concern for oilfield equipment manufacturers. AI creates incremental demand through AI data center power requirements driving natural gas demand. AI Opportunity (0/1): No AI-related revenue, products, or services. Oil States is a traditional engineered equipment manufacturer with no AI deployment or AI-powered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Oil States International Q2 2026 Earnings Release — $157M revenue, $19M adjusted EBITDA, record $451M backlog, 1.2x book-to-bill, FY2026 guidance $640-660M revenue,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OIS key statistics: Forward P/E 18.08, D/E 0.10, ROE -17.45%, profit margin -16.78%, market cap $507M,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Oil States International Corporate Website / Umbrex / ZoomInfo — Company profile, leadership, CEO succession to Lloyd Hajdik (May 2026), segment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WallStreetZen / StockAnalysis — OIS annual revenue history: FY2021 $573M, FY2022 $738M, FY2023 $782M, FY2024 $693M, FY2025 $669M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