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OSRH</w:t>
      </w:r>
      <w:r>
        <w:rPr>
          <w:rFonts w:ascii="Calibri" w:hAnsi="Calibri"/>
          <w:b/>
          <w:color w:val="1A2010"/>
          <w:sz w:val="40"/>
        </w:rPr>
        <w:t xml:space="preserve">  OSR Health, Inc.</w:t>
      </w:r>
    </w:p>
    <w:p>
      <w:pPr>
        <w:spacing w:after="120"/>
      </w:pPr>
      <w:r>
        <w:rPr>
          <w:rFonts w:ascii="Calibri" w:hAnsi="Calibri"/>
          <w:b/>
          <w:color w:val="6E8450"/>
          <w:sz w:val="18"/>
        </w:rPr>
        <w:t>GROWTH SLEEVE · 2026-08-02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OSR Health, Inc. (formerly OSR Holdings, Inc., renamed June 2026) is a global healthcare holding company operating across immuno-oncology, regenerative biologics, and medical device technologies. Key assets include Vaximm AG (oral T-cell immunotherapy platform with VXM01 targeting glioblastoma, recently out-licensed with up to $815M in potential milestones), Woori IO (noninvasive glucose monitoring platform with Samsung collaboration), and South Korean subsidiary operations in regenerative medicine. Went public via SPAC business combination in February 2025.</w:t>
      </w:r>
    </w:p>
    <w:p>
      <w:r>
        <w:rPr>
          <w:rFonts w:ascii="Calibri" w:hAnsi="Calibri"/>
          <w:b/>
          <w:color w:val="6E8450"/>
          <w:sz w:val="18"/>
        </w:rPr>
        <w:t>22 Employees · https://osr-holdings.com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OSR Health completed its business combination in February 2025, making it a newly public entity with no commercial product launches or revenue-generating transformations in the last five years [1]. The company remains in clinical and preclinical stages across its entire portfolio, with VXM01 for glioblastoma as the most advanced asset having completed Phase 2. No product has reached market. AI Deployment (0/2): No evidence of AI-powered products or AI-driven internal efficiencies; the company's immunotherapy and biologics development relies on traditional approaches without disclosed AI integration [2]. Market Share (0/2): No commercial products generating meaningful therapeutic revenue — trailing revenue of $2.9M comes from subsidiary services, not product sales. Zero market share in any therapeutic category [3]. Product Pipeline (1/2): The VXM01 oral T-cell immunotherapy platform was recently out-licensed in a definitive agreement with up to $815M in potential milestones, validating the technology [2]. The Woori IO noninvasive glucose monitoring platform has strategic engagements with Samsung. However, specific timelines for commercialization remain uncertain. R&amp;D Intensity (1/1): As a clinical-stage biotech, virtually all spending is directed toward R&amp;D and clinical development, consistent with the pre-commercial biotech model.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OSR Health articulates a mission to advance biomedical innovations in health and wellness to improve health outcomes worldwide, guided by integrity, transparency, and partnership [2]. This is clear and connects to patient outcomes, but it is a standard biotech mission statement — not distinctively inspirational or validated by any commercial execution. Community Impact (0/2): No evidence of charitable programs, community investment, or philanthropic initiatives beyond standard corporate governance for a 22-person company. Employee Retention (0/2): With only approximately 22 employees and a newly constituted public entity, there is no track record of employee retention or cultural distinction to evaluate. Insider Buying (0/2): No evidence of meaningful net insider buying. CEO's June 2026 shareholder letter promoted a $5 share price target and 6x return thesis, but this is promotional messaging rather than demonstrated personal financial conviction through share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476,349 shares x $0.57 stock price = $271,519 daily dollar volume, far below the $1,000,000 minimum threshold [3]. Infrastructure score is automatically set to 0. For reference, the underlying financials are extremely weak: revenue of $2.9M with -$27.1M net income (-$0.80 diluted EPS), -631% operating margin, and a $15.7M market cap that is below the annual cash burn rate [3]. The company faces a Nasdaq compliance deadline on August 31, 2026 for maintaining minimum listing requirements, creating imminent delisting risk [4]. At $0.57 per share, OSRH is a speculative penny stock unsuitable for any portfolio of meaningful size.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OSR Health is too nascent and financially distressed to demonstrate meaningful infinite game characteristics. As a recently public entity with 22 employees, $15M market cap, cash burn exceeding its enterprise value, and an imminent Nasdaq compliance deadline on August 31, 2026, the company is in survival mode. The CEO's promotional messaging about 6x returns and $5 share price targets reflects finite, quarter-to-quarter thinking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OSR Health's stated mission to advance biomedical innovations for health outcomes reflects genuine scientific ambition, and the immuno-oncology pipeline targeting glioblastoma connects to meaningful unmet medical need [2]. However, the company is too young and financially distressed to have validated this cause through consistent execution. The CEO's shareholder letter emphasizes short-term price targets and return multiples rather than advancing a cause — 'hold for a year, hit $5 share price, get 6x your original position' is finite-game language [4].</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approximately 22 employees across the US, Switzerland, and South Korea, there is insufficient organizational scale to evaluate trust dynamics [2]. The company underwent a SPAC business combination in 2025 and name change in 2026, suggesting organizational instability. No evidence of employee empowerment, cultural practices, or retention metrics exists for a company this small and new.</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competes in immuno-oncology against formidable rivals (BioNTech, Moderna, major pharma) but there is no evidence of management acknowledging competitors' strengths as motivation for self-improvement or framing competition as an opportunity to learn rather than a threat to survival.</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is too young and small to have faced a true test of existential flexibility. The SPAC business combination and subsequent VXM01 licensing deal are formative transactions for a new entity rather than pivots from an established position [1]. The company has not demonstrated the ability to abandon a profitable business or make a transformative strategic pivot in service of a long-term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investments or strategic sacrifices. The company is managing a Nasdaq compliance deadline and trying to avoid delisting — a survival posture, not a position from which to make courageous bets [4]. The VXM01 licensing deal represents pragmatic value extraction from the most advanced asset rather than a bold investment in future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OSR Health's most significant recent development is the definitive VXM01 licensing agreement for its oral T-cell immunotherapy platform, structured with up to $815M in potential milestones — one of the most significant transactions in the company's history [2]. The Woori IO subsidiary's noninvasive glucose monitoring platform, with strategic engagements involving Samsung, adds a second potential value driver. At $15.7M market cap, any milestone payment or clinical advancement could drive substantial percentage upside from the extremely depressed base. The company's portfolio spans immuno-oncology, regenerative biologics, and medical devices, providing diversification within healthcare [2].</w:t>
      </w:r>
    </w:p>
    <w:p>
      <w:pPr>
        <w:spacing w:after="120"/>
      </w:pPr>
      <w:r>
        <w:rPr>
          <w:rFonts w:ascii="Calibri" w:hAnsi="Calibri"/>
          <w:b w:val="0"/>
          <w:color w:val="3A4A28"/>
          <w:sz w:val="20"/>
        </w:rPr>
        <w:t>The bear case is severe and multi-dimensional. OSRH fails the IOWN liquidity floor with daily dollar volume of only $272K, making it untradeable for any portfolio of meaningful size [3]. The company burned $27.1M in net losses on only $2.9M of revenue (declining 58% YoY), meaning it consumed nearly twice its current $15.7M market cap in a single year of losses [3]. An imminent Nasdaq compliance deadline on August 31, 2026 creates real delisting risk that could further devastate liquidity and institutional access [4]. CEO promotional messaging about 6x returns and $5 share price targets without specific commercial milestones raises governance concerns. VXM01 licensing milestone payments depend on the licensee's execution, not OSR Health's, and the $815M headline number is a maximum that may never be reached. Dilution risk is extreme — the company must raise capital to fund ongoing operations, likely at severely punishing terms given the penny-stock valuation. This is a speculative pre-revenue micro-cap unsuitable for IOWN's return-on-intention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VXM01 licensing deal milestone payments — the $815M potential milestone structure could deliver meaningful near-term cash if the licensee advances the program through clinical development stages</w:t>
      </w:r>
    </w:p>
    <w:p>
      <w:pPr>
        <w:spacing w:before="40" w:after="40"/>
        <w:ind w:left="283"/>
      </w:pPr>
      <w:r>
        <w:rPr>
          <w:rFonts w:ascii="Calibri" w:hAnsi="Calibri"/>
          <w:b/>
          <w:color w:val="4A6B25"/>
          <w:sz w:val="20"/>
        </w:rPr>
        <w:t xml:space="preserve">2. </w:t>
      </w:r>
      <w:r>
        <w:rPr>
          <w:rFonts w:ascii="Calibri" w:hAnsi="Calibri"/>
          <w:b w:val="0"/>
          <w:color w:val="3A4A28"/>
          <w:sz w:val="20"/>
        </w:rPr>
        <w:t>Woori IO noninvasive glucose monitoring platform advancement with Samsung strategic engagement, targeting a large addressable market in diabetes management</w:t>
      </w:r>
    </w:p>
    <w:p>
      <w:pPr>
        <w:spacing w:before="40" w:after="40"/>
        <w:ind w:left="283"/>
      </w:pPr>
      <w:r>
        <w:rPr>
          <w:rFonts w:ascii="Calibri" w:hAnsi="Calibri"/>
          <w:b/>
          <w:color w:val="4A6B25"/>
          <w:sz w:val="20"/>
        </w:rPr>
        <w:t xml:space="preserve">3. </w:t>
      </w:r>
      <w:r>
        <w:rPr>
          <w:rFonts w:ascii="Calibri" w:hAnsi="Calibri"/>
          <w:b w:val="0"/>
          <w:color w:val="3A4A28"/>
          <w:sz w:val="20"/>
        </w:rPr>
        <w:t>Resolution of the August 31, 2026 Nasdaq compliance deadline, which if achieved would eliminate near-term delisting risk and potentially improve institutional access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$272K daily dollar volume makes OSRH untradeable for institutional investors and creates severe execution risk on any position entry or exit</w:t>
      </w:r>
    </w:p>
    <w:p>
      <w:pPr>
        <w:spacing w:before="40" w:after="40"/>
        <w:ind w:left="283"/>
      </w:pPr>
      <w:r>
        <w:rPr>
          <w:rFonts w:ascii="Calibri" w:hAnsi="Calibri"/>
          <w:b/>
          <w:color w:val="4A6B25"/>
          <w:sz w:val="20"/>
        </w:rPr>
        <w:t xml:space="preserve">2. </w:t>
      </w:r>
      <w:r>
        <w:rPr>
          <w:rFonts w:ascii="Calibri" w:hAnsi="Calibri"/>
          <w:b w:val="0"/>
          <w:color w:val="3A4A28"/>
          <w:sz w:val="20"/>
        </w:rPr>
        <w:t>Imminent Nasdaq compliance deadline on August 31, 2026 creates real delisting risk that could further devastate liquidity and share price</w:t>
      </w:r>
    </w:p>
    <w:p>
      <w:pPr>
        <w:spacing w:before="40" w:after="40"/>
        <w:ind w:left="283"/>
      </w:pPr>
      <w:r>
        <w:rPr>
          <w:rFonts w:ascii="Calibri" w:hAnsi="Calibri"/>
          <w:b/>
          <w:color w:val="4A6B25"/>
          <w:sz w:val="20"/>
        </w:rPr>
        <w:t xml:space="preserve">3. </w:t>
      </w:r>
      <w:r>
        <w:rPr>
          <w:rFonts w:ascii="Calibri" w:hAnsi="Calibri"/>
          <w:b w:val="0"/>
          <w:color w:val="3A4A28"/>
          <w:sz w:val="20"/>
        </w:rPr>
        <w:t>Cash burn of $27.1M annually against $15.7M market cap requires imminent dilutive capital raises at punishing valuations, while revenue of $2.9M (declining 58% YoY) provides no commercial revenue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OSR Health's core business — developing physical immunotherapy products, regenerative biologics, and medical devices — involves tangible biological and device-based therapies that AI cannot directly substitute [2]. Clinical trials, manufacturing of biological products, and regulatory processes require human and physical-world execution. However, AI is rapidly transforming drug discovery, clinical trial design, and biomarker identification, meaning AI-native competitors (BioNTech, Moderna, major pharma with AI R&amp;D partnerships) could develop competing immunotherapy and oncology candidates faster and cheaper. For a 22-person company with $15M market cap, the inability to adopt AI-driven drug development tools at scale is itself a competitive vulnerability against well-resourced AI-equipped competitors [3]. AI Opportunity (0/1): No evidence that OSR Health generates any AI-related revenue or has deployed AI in its drug development or device platforms.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OSR Health SEC Filings — 10-Q FY2025, $2.9M TTM revenue, -$27.1M net loss, -$0.80 diluted EPS; SEC EDGAR, 2025</w:t>
      </w:r>
    </w:p>
    <w:p>
      <w:pPr>
        <w:spacing w:before="20" w:after="20"/>
        <w:ind w:left="170"/>
      </w:pPr>
      <w:r>
        <w:rPr>
          <w:rFonts w:ascii="Calibri" w:hAnsi="Calibri"/>
          <w:b/>
          <w:color w:val="4A6B25"/>
          <w:sz w:val="15"/>
        </w:rPr>
        <w:t xml:space="preserve">2. </w:t>
      </w:r>
      <w:r>
        <w:rPr>
          <w:rFonts w:ascii="Calibri" w:hAnsi="Calibri"/>
          <w:b w:val="0"/>
          <w:color w:val="3A4A28"/>
          <w:sz w:val="17"/>
        </w:rPr>
        <w:t>OSR Health Corporate Overview — CEO Kuk Hyoun Hwang, VXM01 $815M licensing deal, Woori IO Samsung engagement, mission statement; osr-holdings.com, Nasdaq press release,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OSRH key statistics, $0.57 stock price, $15.7M market cap, 476K avg volume;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OSR Health CEO Shareholder Update — Nasdaq compliance deadline August 31, 2026, $5 price target messaging, company renamed to OSR Health; AccessNewswire,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